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420FCC" w:rsidRDefault="00420FCC" w:rsidP="00420FCC">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rsidR="00546188">
        <w:fldChar w:fldCharType="begin"/>
      </w:r>
      <w:r w:rsidR="00546188">
        <w:instrText xml:space="preserve"> DOCPROPERTY  MtgTitle  \* MERGEFORMAT </w:instrText>
      </w:r>
      <w:r w:rsidR="00546188">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R5-19</w:t>
      </w:r>
      <w:r w:rsidR="00F5709B">
        <w:rPr>
          <w:b/>
          <w:i/>
          <w:noProof/>
          <w:sz w:val="28"/>
        </w:rPr>
        <w:t>4064</w:t>
      </w:r>
      <w:r>
        <w:rPr>
          <w:b/>
          <w:i/>
          <w:noProof/>
          <w:sz w:val="28"/>
        </w:rPr>
        <w:fldChar w:fldCharType="end"/>
      </w:r>
      <w:r w:rsidR="00B1719F" w:rsidRPr="00B1719F">
        <w:rPr>
          <w:b/>
          <w:i/>
          <w:noProof/>
          <w:sz w:val="28"/>
          <w:highlight w:val="green"/>
        </w:rPr>
        <w:t>r1</w:t>
      </w:r>
    </w:p>
    <w:p w:rsidR="00420FCC" w:rsidRDefault="00420FCC" w:rsidP="00420F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p w:rsidR="009B4566" w:rsidRPr="00420FCC" w:rsidRDefault="009B4566" w:rsidP="009B4566">
      <w:pPr>
        <w:rPr>
          <w:rFonts w:ascii="Arial" w:hAnsi="Arial" w:cs="Arial"/>
          <w:lang w:eastAsia="ja-JP"/>
        </w:rPr>
      </w:pPr>
    </w:p>
    <w:p w:rsidR="009B4566" w:rsidRDefault="00B57965" w:rsidP="006B4CA5">
      <w:pPr>
        <w:ind w:start="93.85pt" w:hangingChars="850" w:hanging="93.85pt"/>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6B4CA5" w:rsidRPr="00264F77">
        <w:rPr>
          <w:rFonts w:ascii="Arial" w:hAnsi="Arial" w:cs="Arial" w:hint="eastAsia"/>
          <w:b/>
          <w:sz w:val="22"/>
          <w:lang w:eastAsia="ja-JP"/>
        </w:rPr>
        <w:tab/>
      </w:r>
      <w:r w:rsidR="00F5709B" w:rsidRPr="00F5709B">
        <w:rPr>
          <w:rFonts w:ascii="Arial" w:hAnsi="Arial" w:cs="Arial"/>
          <w:b/>
          <w:sz w:val="22"/>
          <w:lang w:eastAsia="ja-JP"/>
        </w:rPr>
        <w:t>Channel spacing for FR2 intra-band contiguous CA</w:t>
      </w:r>
    </w:p>
    <w:p w:rsidR="009B4566" w:rsidRPr="00641215" w:rsidRDefault="00641215" w:rsidP="009B4566">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b/>
          <w:sz w:val="22"/>
          <w:lang w:eastAsia="ja-JP"/>
        </w:rPr>
        <w:tab/>
      </w:r>
      <w:r w:rsidRPr="00641215">
        <w:rPr>
          <w:rFonts w:ascii="Arial" w:hAnsi="Arial" w:cs="Arial"/>
          <w:b/>
          <w:sz w:val="22"/>
          <w:lang w:eastAsia="ja-JP"/>
        </w:rPr>
        <w:tab/>
      </w:r>
      <w:r w:rsidR="00B57965" w:rsidRPr="00641215">
        <w:rPr>
          <w:rFonts w:ascii="Arial" w:hAnsi="Arial" w:cs="Arial" w:hint="eastAsia"/>
          <w:b/>
          <w:sz w:val="22"/>
          <w:lang w:eastAsia="ja-JP"/>
        </w:rPr>
        <w:t>NTT DOCOMO, INC.</w:t>
      </w:r>
    </w:p>
    <w:p w:rsidR="006B4CA5" w:rsidRPr="00641215" w:rsidRDefault="00B011B3" w:rsidP="009B4566">
      <w:pPr>
        <w:rPr>
          <w:rFonts w:ascii="Arial" w:hAnsi="Arial" w:cs="Arial"/>
          <w:b/>
          <w:sz w:val="22"/>
          <w:lang w:eastAsia="ja-JP"/>
        </w:rPr>
      </w:pPr>
      <w:r w:rsidRPr="00A1642A">
        <w:rPr>
          <w:rFonts w:ascii="Arial" w:hAnsi="Arial" w:cs="Arial" w:hint="eastAsia"/>
          <w:b/>
          <w:sz w:val="22"/>
          <w:lang w:eastAsia="ja-JP"/>
        </w:rPr>
        <w:t>Agenda Item</w:t>
      </w:r>
      <w:r w:rsidR="009B4566" w:rsidRPr="00A1642A">
        <w:rPr>
          <w:rFonts w:ascii="Arial" w:hAnsi="Arial" w:cs="Arial" w:hint="eastAsia"/>
          <w:b/>
          <w:sz w:val="22"/>
          <w:lang w:eastAsia="ja-JP"/>
        </w:rPr>
        <w:t>:</w:t>
      </w:r>
      <w:r w:rsidRPr="00A1642A">
        <w:rPr>
          <w:rFonts w:ascii="Arial" w:hAnsi="Arial" w:cs="Arial" w:hint="eastAsia"/>
          <w:b/>
          <w:sz w:val="22"/>
          <w:lang w:eastAsia="ja-JP"/>
        </w:rPr>
        <w:tab/>
      </w:r>
      <w:r w:rsidR="00EF5048" w:rsidRPr="00A1642A">
        <w:rPr>
          <w:rFonts w:ascii="Arial" w:hAnsi="Arial" w:cs="Arial" w:hint="eastAsia"/>
          <w:b/>
          <w:sz w:val="22"/>
          <w:lang w:eastAsia="ja-JP"/>
        </w:rPr>
        <w:tab/>
      </w:r>
      <w:r w:rsidR="00641215" w:rsidRPr="00A1642A">
        <w:rPr>
          <w:rFonts w:ascii="Arial" w:hAnsi="Arial" w:cs="Arial"/>
          <w:b/>
          <w:sz w:val="22"/>
          <w:lang w:eastAsia="ja-JP"/>
        </w:rPr>
        <w:tab/>
      </w:r>
      <w:r w:rsidR="00F92022">
        <w:rPr>
          <w:rFonts w:ascii="Arial" w:hAnsi="Arial" w:cs="Arial"/>
          <w:b/>
          <w:sz w:val="22"/>
          <w:lang w:eastAsia="ja-JP"/>
        </w:rPr>
        <w:t>5.3.</w:t>
      </w:r>
      <w:r w:rsidR="00D062E3">
        <w:rPr>
          <w:rFonts w:ascii="Arial" w:hAnsi="Arial" w:cs="Arial" w:hint="eastAsia"/>
          <w:b/>
          <w:sz w:val="22"/>
          <w:lang w:eastAsia="ja-JP"/>
        </w:rPr>
        <w:t>5</w:t>
      </w:r>
      <w:r w:rsidR="00F92022">
        <w:rPr>
          <w:rFonts w:ascii="Arial" w:hAnsi="Arial" w:cs="Arial"/>
          <w:b/>
          <w:sz w:val="22"/>
          <w:lang w:eastAsia="ja-JP"/>
        </w:rPr>
        <w:t>.17</w:t>
      </w:r>
    </w:p>
    <w:p w:rsidR="009B4566" w:rsidRPr="00641215" w:rsidRDefault="009B4566" w:rsidP="009B4566">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00B011B3" w:rsidRPr="00641215">
        <w:rPr>
          <w:rFonts w:ascii="Arial" w:hAnsi="Arial" w:cs="Arial" w:hint="eastAsia"/>
          <w:b/>
          <w:sz w:val="22"/>
          <w:lang w:eastAsia="ja-JP"/>
        </w:rPr>
        <w:tab/>
      </w:r>
      <w:r w:rsidR="00DA3F00">
        <w:rPr>
          <w:rFonts w:ascii="Arial" w:hAnsi="Arial" w:cs="Arial" w:hint="eastAsia"/>
          <w:b/>
          <w:sz w:val="22"/>
          <w:lang w:eastAsia="ja-JP"/>
        </w:rPr>
        <w:t xml:space="preserve">Discussion and </w:t>
      </w:r>
      <w:r w:rsidR="009A7341" w:rsidRPr="00DA3F00">
        <w:rPr>
          <w:rFonts w:ascii="Arial" w:hAnsi="Arial" w:cs="Arial" w:hint="eastAsia"/>
          <w:b/>
          <w:sz w:val="22"/>
          <w:lang w:eastAsia="ja-JP"/>
        </w:rPr>
        <w:t>Endorsement</w:t>
      </w:r>
    </w:p>
    <w:p w:rsidR="009B4566" w:rsidRPr="00641215" w:rsidRDefault="009B4566" w:rsidP="009B4566">
      <w:pPr>
        <w:pStyle w:val="1"/>
        <w:rPr>
          <w:lang w:eastAsia="ja-JP"/>
        </w:rPr>
      </w:pPr>
      <w:r w:rsidRPr="00641215">
        <w:rPr>
          <w:rFonts w:hint="eastAsia"/>
          <w:lang w:eastAsia="ja-JP"/>
        </w:rPr>
        <w:t>Introduction</w:t>
      </w:r>
    </w:p>
    <w:p w:rsidR="00D062E3" w:rsidRDefault="00DA198D" w:rsidP="00FF5E5F">
      <w:pPr>
        <w:jc w:val="both"/>
        <w:rPr>
          <w:lang w:eastAsia="ja-JP"/>
        </w:rPr>
      </w:pPr>
      <w:r>
        <w:rPr>
          <w:rFonts w:hint="eastAsia"/>
          <w:lang w:eastAsia="ja-JP"/>
        </w:rPr>
        <w:t xml:space="preserve">Test frequency and related parameters for FR2 UL CA (intra-band contiguous) </w:t>
      </w:r>
      <w:r>
        <w:rPr>
          <w:lang w:eastAsia="ja-JP"/>
        </w:rPr>
        <w:t>are not defined in TS 38.508-1 [1] yet.</w:t>
      </w:r>
      <w:r w:rsidR="00951A7B">
        <w:rPr>
          <w:lang w:eastAsia="ja-JP"/>
        </w:rPr>
        <w:t xml:space="preserve"> The purpose of this contribution is to propose channel spacing value for conformance test.</w:t>
      </w:r>
      <w:r w:rsidR="007F419E">
        <w:rPr>
          <w:lang w:eastAsia="ja-JP"/>
        </w:rPr>
        <w:t xml:space="preserve"> </w:t>
      </w:r>
      <w:r w:rsidR="007F419E" w:rsidRPr="007F419E">
        <w:rPr>
          <w:highlight w:val="green"/>
          <w:lang w:eastAsia="ja-JP"/>
        </w:rPr>
        <w:t>In order to define test frequency for intra-band contiguous CA, it is required to define test channel spacing.</w:t>
      </w:r>
    </w:p>
    <w:p w:rsidR="00E06659" w:rsidRDefault="00E06659" w:rsidP="00E06659">
      <w:pPr>
        <w:pStyle w:val="1"/>
        <w:rPr>
          <w:lang w:eastAsia="ja-JP"/>
        </w:rPr>
      </w:pPr>
      <w:r>
        <w:rPr>
          <w:rFonts w:hint="eastAsia"/>
          <w:lang w:eastAsia="ja-JP"/>
        </w:rPr>
        <w:t>Summary</w:t>
      </w:r>
    </w:p>
    <w:p w:rsidR="00171941" w:rsidRDefault="00171941" w:rsidP="00171941">
      <w:pPr>
        <w:ind w:start="56.90pt" w:hangingChars="567" w:hanging="56.90pt"/>
        <w:rPr>
          <w:b/>
          <w:lang w:eastAsia="ja-JP"/>
        </w:rPr>
      </w:pPr>
      <w:r w:rsidRPr="00C64A96">
        <w:rPr>
          <w:b/>
          <w:lang w:eastAsia="ja-JP"/>
        </w:rPr>
        <w:t xml:space="preserve">Proposal </w:t>
      </w:r>
      <w:r>
        <w:rPr>
          <w:b/>
          <w:lang w:eastAsia="ja-JP"/>
        </w:rPr>
        <w:t>1</w:t>
      </w:r>
      <w:r w:rsidRPr="00C64A96">
        <w:rPr>
          <w:b/>
          <w:lang w:eastAsia="ja-JP"/>
        </w:rPr>
        <w:tab/>
        <w:t xml:space="preserve">: </w:t>
      </w:r>
      <w:r>
        <w:rPr>
          <w:b/>
          <w:lang w:eastAsia="ja-JP"/>
        </w:rPr>
        <w:t>Regarding intra-band contiguous CA with Band n257</w:t>
      </w:r>
      <w:r w:rsidR="003E599F">
        <w:rPr>
          <w:b/>
          <w:lang w:eastAsia="ja-JP"/>
        </w:rPr>
        <w:t xml:space="preserve"> </w:t>
      </w:r>
      <w:r w:rsidR="00C26AFD">
        <w:rPr>
          <w:b/>
          <w:highlight w:val="green"/>
          <w:lang w:eastAsia="ja-JP"/>
        </w:rPr>
        <w:t>(</w:t>
      </w:r>
      <w:r w:rsidR="003E599F" w:rsidRPr="003E599F">
        <w:rPr>
          <w:b/>
          <w:highlight w:val="green"/>
          <w:lang w:eastAsia="ja-JP"/>
        </w:rPr>
        <w:t>100MHz BW per CC</w:t>
      </w:r>
      <w:r w:rsidR="00C26AFD">
        <w:rPr>
          <w:b/>
          <w:lang w:eastAsia="ja-JP"/>
        </w:rPr>
        <w:t>)</w:t>
      </w:r>
      <w:r>
        <w:rPr>
          <w:b/>
          <w:lang w:eastAsia="ja-JP"/>
        </w:rPr>
        <w:t>, to set test channel spacing as below.</w:t>
      </w:r>
      <w:r w:rsidR="003E599F">
        <w:rPr>
          <w:b/>
          <w:lang w:eastAsia="ja-JP"/>
        </w:rPr>
        <w:t xml:space="preserve"> </w:t>
      </w:r>
      <w:r w:rsidR="003E599F" w:rsidRPr="003E599F">
        <w:rPr>
          <w:b/>
          <w:highlight w:val="green"/>
          <w:lang w:eastAsia="ja-JP"/>
        </w:rPr>
        <w:t>This parameter to be captured into TS 38.508-1.</w:t>
      </w:r>
    </w:p>
    <w:p w:rsidR="00171941" w:rsidRDefault="00171941" w:rsidP="00171941">
      <w:pPr>
        <w:ind w:start="42.55pt" w:hanging="14.15pt"/>
        <w:rPr>
          <w:b/>
          <w:lang w:eastAsia="ja-JP"/>
        </w:rPr>
      </w:pPr>
      <w:r>
        <w:rPr>
          <w:b/>
          <w:lang w:eastAsia="ja-JP"/>
        </w:rPr>
        <w:t>Test channel spacing = 99.36 MHz (as default)</w:t>
      </w:r>
    </w:p>
    <w:p w:rsidR="00171941" w:rsidRDefault="00171941" w:rsidP="00171941">
      <w:pPr>
        <w:ind w:start="20.95pt" w:firstLine="7.45pt"/>
        <w:rPr>
          <w:b/>
          <w:lang w:eastAsia="ja-JP"/>
        </w:rPr>
      </w:pPr>
      <w:r w:rsidRPr="00171941">
        <w:rPr>
          <w:b/>
          <w:highlight w:val="green"/>
          <w:lang w:eastAsia="ja-JP"/>
        </w:rPr>
        <w:t>Test channel spacing = Nominal channel spacing (for ACLR, ACS, IBB)</w:t>
      </w:r>
    </w:p>
    <w:p w:rsidR="00171941" w:rsidRDefault="00171941" w:rsidP="00171941">
      <w:pPr>
        <w:rPr>
          <w:b/>
          <w:lang w:eastAsia="ja-JP"/>
        </w:rPr>
      </w:pPr>
    </w:p>
    <w:p w:rsidR="005731A0" w:rsidRDefault="005731A0" w:rsidP="00430636">
      <w:pPr>
        <w:numPr>
          <w:ilvl w:val="0"/>
          <w:numId w:val="15"/>
        </w:numPr>
        <w:jc w:val="both"/>
        <w:rPr>
          <w:b/>
          <w:lang w:eastAsia="ja-JP"/>
        </w:rPr>
      </w:pPr>
      <w:r w:rsidRPr="005731A0">
        <w:rPr>
          <w:b/>
          <w:lang w:eastAsia="ja-JP"/>
        </w:rPr>
        <w:t>Observation 1</w:t>
      </w:r>
      <w:r w:rsidRPr="005731A0">
        <w:rPr>
          <w:b/>
          <w:lang w:eastAsia="ja-JP"/>
        </w:rPr>
        <w:tab/>
        <w:t>: Channel spacing during test should</w:t>
      </w:r>
      <w:r w:rsidR="002C06C7">
        <w:rPr>
          <w:b/>
          <w:lang w:eastAsia="ja-JP"/>
        </w:rPr>
        <w:t xml:space="preserve"> be set as less</w:t>
      </w:r>
      <w:r w:rsidRPr="005731A0">
        <w:rPr>
          <w:b/>
          <w:lang w:eastAsia="ja-JP"/>
        </w:rPr>
        <w:t xml:space="preserve"> than or equal to NCS.</w:t>
      </w:r>
    </w:p>
    <w:p w:rsidR="00430636" w:rsidRPr="005731A0" w:rsidRDefault="00430636" w:rsidP="00430636">
      <w:pPr>
        <w:numPr>
          <w:ilvl w:val="0"/>
          <w:numId w:val="15"/>
        </w:numPr>
        <w:jc w:val="both"/>
        <w:rPr>
          <w:b/>
          <w:lang w:eastAsia="ja-JP"/>
        </w:rPr>
      </w:pPr>
      <w:r w:rsidRPr="005731A0">
        <w:rPr>
          <w:b/>
          <w:lang w:eastAsia="ja-JP"/>
        </w:rPr>
        <w:t>Observation 2</w:t>
      </w:r>
      <w:r w:rsidRPr="005731A0">
        <w:rPr>
          <w:b/>
          <w:lang w:eastAsia="ja-JP"/>
        </w:rPr>
        <w:tab/>
        <w:t xml:space="preserve">: Test channel spacing for </w:t>
      </w:r>
      <w:r>
        <w:rPr>
          <w:b/>
          <w:lang w:eastAsia="ja-JP"/>
        </w:rPr>
        <w:t>CA_n257X should be set as “less</w:t>
      </w:r>
      <w:r w:rsidRPr="005731A0">
        <w:rPr>
          <w:b/>
          <w:lang w:eastAsia="ja-JP"/>
        </w:rPr>
        <w:t xml:space="preserve"> than or equal to 99.84 MHz”</w:t>
      </w:r>
    </w:p>
    <w:p w:rsidR="005731A0" w:rsidRPr="005731A0" w:rsidRDefault="005731A0" w:rsidP="00430636">
      <w:pPr>
        <w:numPr>
          <w:ilvl w:val="0"/>
          <w:numId w:val="15"/>
        </w:numPr>
        <w:jc w:val="both"/>
        <w:rPr>
          <w:b/>
          <w:lang w:eastAsia="ja-JP"/>
        </w:rPr>
      </w:pPr>
      <w:r w:rsidRPr="005731A0">
        <w:rPr>
          <w:b/>
          <w:lang w:eastAsia="ja-JP"/>
        </w:rPr>
        <w:t xml:space="preserve">Observation </w:t>
      </w:r>
      <w:r w:rsidR="007F419E">
        <w:rPr>
          <w:b/>
          <w:lang w:eastAsia="ja-JP"/>
        </w:rPr>
        <w:t>3</w:t>
      </w:r>
      <w:r w:rsidRPr="005731A0">
        <w:rPr>
          <w:b/>
          <w:lang w:eastAsia="ja-JP"/>
        </w:rPr>
        <w:tab/>
        <w:t xml:space="preserve">: </w:t>
      </w:r>
      <w:r w:rsidR="007F419E" w:rsidRPr="005731A0">
        <w:rPr>
          <w:b/>
          <w:lang w:eastAsia="ja-JP"/>
        </w:rPr>
        <w:t>Test channel spacing for CA_n257X should be set as “95.04 + 0.72, 1.44 x N”</w:t>
      </w:r>
    </w:p>
    <w:p w:rsidR="005731A0" w:rsidRPr="007F419E" w:rsidRDefault="005731A0" w:rsidP="00430636">
      <w:pPr>
        <w:pStyle w:val="aff1"/>
        <w:numPr>
          <w:ilvl w:val="0"/>
          <w:numId w:val="15"/>
        </w:numPr>
        <w:rPr>
          <w:rFonts w:ascii="Times New Roman" w:eastAsia="ＭＳ 明朝" w:hAnsi="Times New Roman" w:cs="Times New Roman"/>
          <w:b/>
          <w:sz w:val="20"/>
          <w:szCs w:val="20"/>
          <w:highlight w:val="green"/>
          <w:lang w:val="en-GB" w:eastAsia="ja-JP"/>
        </w:rPr>
      </w:pPr>
      <w:r w:rsidRPr="007F419E">
        <w:rPr>
          <w:rFonts w:ascii="Times New Roman" w:eastAsia="ＭＳ 明朝" w:hAnsi="Times New Roman" w:cs="Times New Roman"/>
          <w:b/>
          <w:sz w:val="20"/>
          <w:szCs w:val="20"/>
          <w:highlight w:val="green"/>
          <w:lang w:val="en-GB" w:eastAsia="ja-JP"/>
        </w:rPr>
        <w:t xml:space="preserve">Observation </w:t>
      </w:r>
      <w:r w:rsidR="007F419E" w:rsidRPr="007F419E">
        <w:rPr>
          <w:rFonts w:ascii="Times New Roman" w:eastAsia="ＭＳ 明朝" w:hAnsi="Times New Roman" w:cs="Times New Roman"/>
          <w:b/>
          <w:sz w:val="20"/>
          <w:szCs w:val="20"/>
          <w:highlight w:val="green"/>
          <w:lang w:val="en-GB" w:eastAsia="ja-JP"/>
        </w:rPr>
        <w:t>4</w:t>
      </w:r>
      <w:r w:rsidRPr="007F419E">
        <w:rPr>
          <w:rFonts w:ascii="Times New Roman" w:eastAsia="ＭＳ 明朝" w:hAnsi="Times New Roman" w:cs="Times New Roman"/>
          <w:b/>
          <w:sz w:val="20"/>
          <w:szCs w:val="20"/>
          <w:highlight w:val="green"/>
          <w:lang w:val="en-GB" w:eastAsia="ja-JP"/>
        </w:rPr>
        <w:tab/>
        <w:t>:</w:t>
      </w:r>
      <w:r w:rsidR="007F419E" w:rsidRPr="007F419E">
        <w:rPr>
          <w:rFonts w:ascii="Times New Roman" w:eastAsia="ＭＳ 明朝" w:hAnsi="Times New Roman" w:cs="Times New Roman"/>
          <w:b/>
          <w:sz w:val="20"/>
          <w:szCs w:val="20"/>
          <w:highlight w:val="green"/>
          <w:lang w:val="en-GB" w:eastAsia="ja-JP"/>
        </w:rPr>
        <w:t xml:space="preserve"> Core requirements of ACLR, ACS, IBB are defined with NCS.</w:t>
      </w:r>
    </w:p>
    <w:p w:rsidR="00E06659" w:rsidRPr="007F419E" w:rsidRDefault="00E06659" w:rsidP="00E06659">
      <w:pPr>
        <w:rPr>
          <w:lang w:eastAsia="ja-JP"/>
        </w:rPr>
      </w:pPr>
    </w:p>
    <w:p w:rsidR="0090451E" w:rsidRDefault="007D62EE" w:rsidP="005731A0">
      <w:pPr>
        <w:jc w:val="center"/>
        <w:rPr>
          <w:lang w:eastAsia="ja-JP"/>
        </w:rPr>
      </w:pPr>
      <w:r w:rsidRPr="007D62EE">
        <w:rPr>
          <w:noProof/>
        </w:rPr>
        <w:drawing>
          <wp:inline distT="0" distB="0" distL="0" distR="0">
            <wp:extent cx="5247379" cy="2329815"/>
            <wp:effectExtent l="0" t="0" r="0" b="0"/>
            <wp:docPr id="2" name="図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6679" cy="2333944"/>
                    </a:xfrm>
                    <a:prstGeom prst="rect">
                      <a:avLst/>
                    </a:prstGeom>
                    <a:noFill/>
                    <a:ln>
                      <a:noFill/>
                    </a:ln>
                  </pic:spPr>
                </pic:pic>
              </a:graphicData>
            </a:graphic>
          </wp:inline>
        </w:drawing>
      </w:r>
    </w:p>
    <w:p w:rsidR="005731A0" w:rsidRDefault="005731A0" w:rsidP="005731A0">
      <w:pPr>
        <w:rPr>
          <w:lang w:eastAsia="ja-JP"/>
        </w:rPr>
      </w:pPr>
    </w:p>
    <w:p w:rsidR="009B4566" w:rsidRDefault="009B4566" w:rsidP="009B4566">
      <w:pPr>
        <w:pStyle w:val="1"/>
        <w:rPr>
          <w:lang w:eastAsia="ja-JP"/>
        </w:rPr>
      </w:pPr>
      <w:r w:rsidRPr="00641215">
        <w:rPr>
          <w:rFonts w:hint="eastAsia"/>
          <w:lang w:eastAsia="ja-JP"/>
        </w:rPr>
        <w:lastRenderedPageBreak/>
        <w:t>Discussion</w:t>
      </w:r>
    </w:p>
    <w:p w:rsidR="00881BAD" w:rsidRDefault="00881BAD" w:rsidP="00881BAD">
      <w:pPr>
        <w:pStyle w:val="2"/>
        <w:rPr>
          <w:lang w:eastAsia="ja-JP"/>
        </w:rPr>
      </w:pPr>
      <w:r>
        <w:rPr>
          <w:lang w:eastAsia="ja-JP"/>
        </w:rPr>
        <w:t>Scope of this contribution</w:t>
      </w:r>
    </w:p>
    <w:p w:rsidR="00881BAD" w:rsidRPr="00881BAD" w:rsidRDefault="00881BAD" w:rsidP="00881BAD">
      <w:pPr>
        <w:rPr>
          <w:lang w:eastAsia="ja-JP"/>
        </w:rPr>
      </w:pPr>
      <w:r>
        <w:rPr>
          <w:lang w:eastAsia="ja-JP"/>
        </w:rPr>
        <w:t>All d</w:t>
      </w:r>
      <w:r>
        <w:rPr>
          <w:rFonts w:hint="eastAsia"/>
          <w:lang w:eastAsia="ja-JP"/>
        </w:rPr>
        <w:t>iscussions, observations, and proposals in this contribution refer to only following CA combinations</w:t>
      </w:r>
      <w:r>
        <w:rPr>
          <w:lang w:eastAsia="ja-JP"/>
        </w:rPr>
        <w:t xml:space="preserve"> related to Japanese </w:t>
      </w:r>
      <w:r w:rsidR="00D77FB5">
        <w:rPr>
          <w:lang w:eastAsia="ja-JP"/>
        </w:rPr>
        <w:t xml:space="preserve">FR2 </w:t>
      </w:r>
      <w:r>
        <w:rPr>
          <w:lang w:eastAsia="ja-JP"/>
        </w:rPr>
        <w:t>Band n257</w:t>
      </w:r>
      <w:r>
        <w:rPr>
          <w:rFonts w:hint="eastAsia"/>
          <w:lang w:eastAsia="ja-JP"/>
        </w:rPr>
        <w:t>.</w:t>
      </w:r>
    </w:p>
    <w:p w:rsidR="00881BAD" w:rsidRPr="00881BAD" w:rsidRDefault="00881BAD" w:rsidP="00881BAD">
      <w:pPr>
        <w:pStyle w:val="TH"/>
        <w:rPr>
          <w:i/>
          <w:shd w:val="pct15" w:color="auto" w:fill="FFFFFF"/>
        </w:rPr>
      </w:pPr>
      <w:r w:rsidRPr="00881BAD">
        <w:rPr>
          <w:i/>
          <w:shd w:val="pct15" w:color="auto" w:fill="FFFFFF"/>
        </w:rPr>
        <w:t>Table 5.5A.1-1: NR CA configurations, bandwidth combination sets and fallback group defined for intra-band contiguous CA</w:t>
      </w:r>
    </w:p>
    <w:tbl>
      <w:tblPr>
        <w:tblW w:w="113.0%" w:type="pct"/>
        <w:jc w:val="center"/>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0" w:lastRow="0" w:firstColumn="1" w:lastColumn="0" w:noHBand="0" w:noVBand="1"/>
      </w:tblPr>
      <w:tblGrid>
        <w:gridCol w:w="1366"/>
        <w:gridCol w:w="1466"/>
        <w:gridCol w:w="706"/>
        <w:gridCol w:w="706"/>
        <w:gridCol w:w="706"/>
        <w:gridCol w:w="706"/>
        <w:gridCol w:w="706"/>
        <w:gridCol w:w="706"/>
        <w:gridCol w:w="706"/>
        <w:gridCol w:w="706"/>
        <w:gridCol w:w="1187"/>
        <w:gridCol w:w="597"/>
        <w:gridCol w:w="937"/>
      </w:tblGrid>
      <w:tr w:rsidR="00881BAD" w:rsidRPr="00617B38" w:rsidTr="00881BAD">
        <w:trPr>
          <w:trHeight w:val="252"/>
          <w:tblHeader/>
          <w:jc w:val="center"/>
        </w:trPr>
        <w:tc>
          <w:tcPr>
            <w:tcW w:w="100.0%" w:type="pct"/>
            <w:gridSpan w:val="13"/>
            <w:tcBorders>
              <w:top w:val="single" w:sz="4" w:space="0" w:color="auto"/>
              <w:start w:val="single" w:sz="4" w:space="0" w:color="auto"/>
              <w:bottom w:val="single" w:sz="6" w:space="0" w:color="auto"/>
              <w:end w:val="single" w:sz="4" w:space="0" w:color="auto"/>
            </w:tcBorders>
            <w:vAlign w:val="center"/>
          </w:tcPr>
          <w:p w:rsidR="00881BAD" w:rsidRPr="00617B38" w:rsidRDefault="00881BAD" w:rsidP="00D751CC">
            <w:pPr>
              <w:pStyle w:val="TAH"/>
            </w:pPr>
            <w:bookmarkStart w:id="0" w:name="_Hlk511814538"/>
            <w:r w:rsidRPr="00617B38">
              <w:t>NR CA configuration / Bandwidth combination set / Fallback group</w:t>
            </w:r>
          </w:p>
        </w:tc>
      </w:tr>
      <w:tr w:rsidR="00881BAD" w:rsidRPr="00617B38" w:rsidTr="00881BAD">
        <w:trPr>
          <w:trHeight w:val="252"/>
          <w:tblHeader/>
          <w:jc w:val="center"/>
        </w:trPr>
        <w:tc>
          <w:tcPr>
            <w:tcW w:w="12.0%" w:type="pct"/>
            <w:vMerge w:val="restar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NR CA configuration</w:t>
            </w:r>
          </w:p>
        </w:tc>
        <w:tc>
          <w:tcPr>
            <w:tcW w:w="13.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eastAsia="ja-JP"/>
              </w:rPr>
            </w:pPr>
            <w:r w:rsidRPr="00617B38">
              <w:rPr>
                <w:lang w:val="en-US" w:eastAsia="ja-JP"/>
              </w:rPr>
              <w:t>Uplink CA configurations</w:t>
            </w:r>
          </w:p>
        </w:tc>
        <w:tc>
          <w:tcPr>
            <w:tcW w:w="50.0%" w:type="pct"/>
            <w:gridSpan w:val="8"/>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Component carriers in order of increasing carrier frequency</w:t>
            </w:r>
          </w:p>
        </w:tc>
        <w:tc>
          <w:tcPr>
            <w:tcW w:w="10.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 xml:space="preserve">Maximum aggregated </w:t>
            </w:r>
            <w:r w:rsidRPr="00617B38">
              <w:rPr>
                <w:lang w:val="en-US"/>
              </w:rPr>
              <w:br/>
              <w:t>BW (MHz)</w:t>
            </w:r>
          </w:p>
        </w:tc>
        <w:tc>
          <w:tcPr>
            <w:tcW w:w="5.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BCS</w:t>
            </w:r>
          </w:p>
        </w:tc>
        <w:tc>
          <w:tcPr>
            <w:tcW w:w="8.0%" w:type="pct"/>
            <w:vMerge w:val="restart"/>
            <w:tcBorders>
              <w:top w:val="single" w:sz="6" w:space="0" w:color="auto"/>
              <w:start w:val="single" w:sz="6" w:space="0" w:color="auto"/>
              <w:bottom w:val="single" w:sz="6" w:space="0" w:color="auto"/>
              <w:end w:val="single" w:sz="4" w:space="0" w:color="auto"/>
            </w:tcBorders>
            <w:vAlign w:val="center"/>
            <w:hideMark/>
          </w:tcPr>
          <w:p w:rsidR="00881BAD" w:rsidRPr="00617B38" w:rsidRDefault="00881BAD" w:rsidP="00D751CC">
            <w:pPr>
              <w:pStyle w:val="TAH"/>
              <w:rPr>
                <w:lang w:eastAsia="ja-JP"/>
              </w:rPr>
            </w:pPr>
            <w:r w:rsidRPr="00617B38">
              <w:t>Fallback group</w:t>
            </w:r>
          </w:p>
        </w:tc>
      </w:tr>
      <w:tr w:rsidR="00881BAD" w:rsidRPr="00617B38" w:rsidTr="00881BAD">
        <w:trPr>
          <w:trHeight w:val="252"/>
          <w:tblHeader/>
          <w:jc w:val="center"/>
        </w:trPr>
        <w:tc>
          <w:tcPr>
            <w:tcW w:w="0pt" w:type="dxa"/>
            <w:vMerge/>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lang w:val="en-US"/>
              </w:rPr>
            </w:pPr>
          </w:p>
        </w:tc>
        <w:tc>
          <w:tcPr>
            <w:tcW w:w="13.0%" w:type="pct"/>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lang w:val="en-US" w:eastAsia="ja-JP"/>
              </w:rPr>
            </w:pP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0pt" w:type="dxa"/>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rPr>
            </w:pPr>
          </w:p>
        </w:tc>
        <w:tc>
          <w:tcPr>
            <w:tcW w:w="0pt" w:type="dxa"/>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rPr>
            </w:pPr>
          </w:p>
        </w:tc>
        <w:tc>
          <w:tcPr>
            <w:tcW w:w="8.0%" w:type="pct"/>
            <w:vMerge/>
            <w:tcBorders>
              <w:top w:val="single" w:sz="6" w:space="0" w:color="auto"/>
              <w:start w:val="single" w:sz="6" w:space="0" w:color="auto"/>
              <w:bottom w:val="single" w:sz="6" w:space="0" w:color="auto"/>
              <w:end w:val="single" w:sz="4" w:space="0" w:color="auto"/>
            </w:tcBorders>
            <w:vAlign w:val="center"/>
            <w:hideMark/>
          </w:tcPr>
          <w:p w:rsidR="00881BAD" w:rsidRPr="00617B38" w:rsidRDefault="00881BAD" w:rsidP="00D751CC">
            <w:pPr>
              <w:spacing w:after="0pt"/>
              <w:rPr>
                <w:rFonts w:ascii="Arial" w:eastAsia="游明朝" w:hAnsi="Arial"/>
                <w:b/>
                <w:sz w:val="18"/>
                <w:lang w:eastAsia="ja-JP"/>
              </w:rPr>
            </w:pPr>
          </w:p>
        </w:tc>
      </w:tr>
      <w:bookmarkEnd w:id="0"/>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pPr>
            <w:r w:rsidRPr="00617B38">
              <w:t>CA_n257G</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CA_n257G</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200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val="restart"/>
            <w:tcBorders>
              <w:top w:val="single" w:sz="6" w:space="0" w:color="auto"/>
              <w:start w:val="single" w:sz="6" w:space="0" w:color="auto"/>
              <w:end w:val="single" w:sz="4" w:space="0" w:color="auto"/>
            </w:tcBorders>
            <w:vAlign w:val="center"/>
            <w:hideMark/>
          </w:tcPr>
          <w:p w:rsidR="00881BAD" w:rsidRPr="00617B38" w:rsidRDefault="00881BAD" w:rsidP="00D751CC">
            <w:pPr>
              <w:pStyle w:val="TAC"/>
              <w:rPr>
                <w:lang w:eastAsia="ja-JP"/>
              </w:rPr>
            </w:pPr>
            <w:r w:rsidRPr="00617B38">
              <w:rPr>
                <w:lang w:eastAsia="ja-JP"/>
              </w:rPr>
              <w:t>3</w:t>
            </w: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pPr>
            <w:r w:rsidRPr="00617B38">
              <w:t>CA_n257H</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CA_n257H</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300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CA_n257I</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rPr>
                <w:lang w:eastAsia="ja-JP"/>
              </w:rPr>
              <w:t>CA_n257I</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400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end w:val="single" w:sz="6" w:space="0" w:color="auto"/>
            </w:tcBorders>
            <w:vAlign w:val="center"/>
            <w:hideMark/>
          </w:tcPr>
          <w:p w:rsidR="00881BAD" w:rsidRPr="00617B38" w:rsidRDefault="00881BAD" w:rsidP="00D751CC">
            <w:pPr>
              <w:pStyle w:val="TAC"/>
            </w:pPr>
            <w:r w:rsidRPr="00617B38">
              <w:t>CA_n257J</w:t>
            </w:r>
          </w:p>
        </w:tc>
        <w:tc>
          <w:tcPr>
            <w:tcW w:w="13.0%" w:type="pct"/>
            <w:tcBorders>
              <w:top w:val="single" w:sz="6" w:space="0" w:color="auto"/>
              <w:start w:val="single" w:sz="6" w:space="0" w:color="auto"/>
              <w:end w:val="single" w:sz="6" w:space="0" w:color="auto"/>
            </w:tcBorders>
            <w:vAlign w:val="center"/>
          </w:tcPr>
          <w:p w:rsidR="00881BAD" w:rsidRPr="00617B38" w:rsidRDefault="00881BAD" w:rsidP="00D751CC">
            <w:pPr>
              <w:pStyle w:val="TAC"/>
            </w:pPr>
            <w:r w:rsidRPr="00617B38">
              <w:t>CA_n257J</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rPr>
                <w:rFonts w:eastAsia="游明朝" w:hint="eastAsia"/>
                <w:lang w:eastAsia="ja-JP"/>
              </w:rPr>
              <w:t>500</w:t>
            </w:r>
          </w:p>
        </w:tc>
        <w:tc>
          <w:tcPr>
            <w:tcW w:w="5.0%" w:type="pct"/>
            <w:tcBorders>
              <w:top w:val="single" w:sz="6" w:space="0" w:color="auto"/>
              <w:start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CA_n257K</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rPr>
                <w:lang w:eastAsia="ja-JP"/>
              </w:rPr>
              <w:t>CA_n257K</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600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end w:val="single" w:sz="6" w:space="0" w:color="auto"/>
            </w:tcBorders>
            <w:vAlign w:val="center"/>
            <w:hideMark/>
          </w:tcPr>
          <w:p w:rsidR="00881BAD" w:rsidRPr="00617B38" w:rsidRDefault="00881BAD" w:rsidP="00D751CC">
            <w:pPr>
              <w:pStyle w:val="TAC"/>
            </w:pPr>
            <w:r w:rsidRPr="00617B38">
              <w:t>CA_n257L</w:t>
            </w:r>
          </w:p>
        </w:tc>
        <w:tc>
          <w:tcPr>
            <w:tcW w:w="13.0%" w:type="pct"/>
            <w:tcBorders>
              <w:top w:val="single" w:sz="6" w:space="0" w:color="auto"/>
              <w:start w:val="single" w:sz="6" w:space="0" w:color="auto"/>
              <w:end w:val="single" w:sz="6" w:space="0" w:color="auto"/>
            </w:tcBorders>
            <w:vAlign w:val="center"/>
          </w:tcPr>
          <w:p w:rsidR="00881BAD" w:rsidRPr="00617B38" w:rsidRDefault="00881BAD" w:rsidP="00D751CC">
            <w:pPr>
              <w:pStyle w:val="TAC"/>
            </w:pPr>
            <w:r w:rsidRPr="00617B38">
              <w:t>CA_n257L</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10.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700</w:t>
            </w:r>
          </w:p>
        </w:tc>
        <w:tc>
          <w:tcPr>
            <w:tcW w:w="5.0%" w:type="pct"/>
            <w:tcBorders>
              <w:top w:val="single" w:sz="6" w:space="0" w:color="auto"/>
              <w:start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CA_n257M</w:t>
            </w:r>
          </w:p>
        </w:tc>
        <w:tc>
          <w:tcPr>
            <w:tcW w:w="13.0%" w:type="pct"/>
            <w:tcBorders>
              <w:top w:val="single" w:sz="6" w:space="0" w:color="auto"/>
              <w:start w:val="single" w:sz="6" w:space="0" w:color="auto"/>
              <w:bottom w:val="single" w:sz="4" w:space="0" w:color="auto"/>
              <w:end w:val="single" w:sz="6" w:space="0" w:color="auto"/>
            </w:tcBorders>
            <w:vAlign w:val="center"/>
          </w:tcPr>
          <w:p w:rsidR="00881BAD" w:rsidRPr="00617B38" w:rsidRDefault="00881BAD" w:rsidP="00D751CC">
            <w:pPr>
              <w:pStyle w:val="TAC"/>
            </w:pPr>
            <w:r w:rsidRPr="00617B38">
              <w:rPr>
                <w:lang w:eastAsia="ja-JP"/>
              </w:rPr>
              <w:t>CA_n257M</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10.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800</w:t>
            </w:r>
          </w:p>
        </w:tc>
        <w:tc>
          <w:tcPr>
            <w:tcW w:w="5.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bottom w:val="single" w:sz="4" w:space="0" w:color="auto"/>
              <w:end w:val="single" w:sz="4" w:space="0" w:color="auto"/>
            </w:tcBorders>
            <w:vAlign w:val="center"/>
            <w:hideMark/>
          </w:tcPr>
          <w:p w:rsidR="00881BAD" w:rsidRPr="00617B38" w:rsidRDefault="00881BAD" w:rsidP="00D751CC">
            <w:pPr>
              <w:pStyle w:val="TAC"/>
              <w:rPr>
                <w:lang w:eastAsia="ja-JP"/>
              </w:rPr>
            </w:pPr>
          </w:p>
        </w:tc>
      </w:tr>
    </w:tbl>
    <w:p w:rsidR="00881BAD" w:rsidRPr="00881BAD" w:rsidRDefault="00881BAD" w:rsidP="00881BAD">
      <w:pPr>
        <w:rPr>
          <w:lang w:eastAsia="ja-JP"/>
        </w:rPr>
      </w:pPr>
    </w:p>
    <w:p w:rsidR="002E1F5C" w:rsidRDefault="00C1727A" w:rsidP="00C1727A">
      <w:pPr>
        <w:pStyle w:val="2"/>
        <w:rPr>
          <w:lang w:eastAsia="ja-JP"/>
        </w:rPr>
      </w:pPr>
      <w:r>
        <w:rPr>
          <w:lang w:eastAsia="ja-JP"/>
        </w:rPr>
        <w:t>Nominal Channel Spacing</w:t>
      </w:r>
    </w:p>
    <w:p w:rsidR="00FC633F" w:rsidRDefault="00C1727A" w:rsidP="00FF5E5F">
      <w:pPr>
        <w:jc w:val="both"/>
        <w:rPr>
          <w:lang w:eastAsia="ja-JP"/>
        </w:rPr>
      </w:pPr>
      <w:r>
        <w:rPr>
          <w:lang w:eastAsia="ja-JP"/>
        </w:rPr>
        <w:t>F</w:t>
      </w:r>
      <w:r>
        <w:rPr>
          <w:rFonts w:hint="eastAsia"/>
          <w:lang w:eastAsia="ja-JP"/>
        </w:rPr>
        <w:t xml:space="preserve">ollowing </w:t>
      </w:r>
      <w:r w:rsidR="00D77FB5">
        <w:rPr>
          <w:lang w:eastAsia="ja-JP"/>
        </w:rPr>
        <w:t xml:space="preserve">section </w:t>
      </w:r>
      <w:r>
        <w:rPr>
          <w:lang w:eastAsia="ja-JP"/>
        </w:rPr>
        <w:t>is definition of Nominal Channel Spacing (NCS) in TS 38.101-2 [</w:t>
      </w:r>
      <w:r w:rsidR="00DA198D">
        <w:rPr>
          <w:lang w:eastAsia="ja-JP"/>
        </w:rPr>
        <w:t>2</w:t>
      </w:r>
      <w:r>
        <w:rPr>
          <w:lang w:eastAsia="ja-JP"/>
        </w:rPr>
        <w:t>]. In FR2 operation, NCS value depend</w:t>
      </w:r>
      <w:r w:rsidR="00C44D61">
        <w:rPr>
          <w:lang w:eastAsia="ja-JP"/>
        </w:rPr>
        <w:t>s on 1) Channel bandwidth, 2) Guard Band</w:t>
      </w:r>
      <w:r>
        <w:rPr>
          <w:lang w:eastAsia="ja-JP"/>
        </w:rPr>
        <w:t xml:space="preserve">, and 3) SCS of each component carrier. In </w:t>
      </w:r>
      <w:proofErr w:type="gramStart"/>
      <w:r>
        <w:rPr>
          <w:lang w:eastAsia="ja-JP"/>
        </w:rPr>
        <w:t>addition</w:t>
      </w:r>
      <w:proofErr w:type="gramEnd"/>
      <w:r>
        <w:rPr>
          <w:lang w:eastAsia="ja-JP"/>
        </w:rPr>
        <w:t xml:space="preserve"> as described</w:t>
      </w:r>
      <w:r w:rsidR="00881BAD">
        <w:rPr>
          <w:lang w:eastAsia="ja-JP"/>
        </w:rPr>
        <w:t xml:space="preserve"> in</w:t>
      </w:r>
      <w:r>
        <w:rPr>
          <w:lang w:eastAsia="ja-JP"/>
        </w:rPr>
        <w:t xml:space="preserve"> blue highlighted part, channel spacing can be defined as any value which is lower than or equal to NCS.</w:t>
      </w:r>
    </w:p>
    <w:p w:rsidR="00DA198D" w:rsidRPr="00DA198D" w:rsidRDefault="00DA198D" w:rsidP="00DA198D">
      <w:pPr>
        <w:ind w:start="56.90pt" w:hangingChars="567" w:hanging="56.90pt"/>
        <w:rPr>
          <w:b/>
          <w:lang w:eastAsia="ja-JP"/>
        </w:rPr>
      </w:pPr>
      <w:r>
        <w:rPr>
          <w:b/>
          <w:lang w:eastAsia="ja-JP"/>
        </w:rPr>
        <w:t>Observation 1</w:t>
      </w:r>
      <w:r w:rsidRPr="00C64A96">
        <w:rPr>
          <w:b/>
          <w:lang w:eastAsia="ja-JP"/>
        </w:rPr>
        <w:tab/>
        <w:t xml:space="preserve">: </w:t>
      </w:r>
      <w:r>
        <w:rPr>
          <w:b/>
          <w:lang w:eastAsia="ja-JP"/>
        </w:rPr>
        <w:t>Channel spacing du</w:t>
      </w:r>
      <w:r w:rsidR="002C06C7">
        <w:rPr>
          <w:b/>
          <w:lang w:eastAsia="ja-JP"/>
        </w:rPr>
        <w:t>ring test should be set as less</w:t>
      </w:r>
      <w:r>
        <w:rPr>
          <w:b/>
          <w:lang w:eastAsia="ja-JP"/>
        </w:rPr>
        <w:t xml:space="preserve"> than or equal to NCS.</w:t>
      </w:r>
    </w:p>
    <w:p w:rsidR="00DA198D" w:rsidRPr="00DA198D" w:rsidRDefault="00DA198D" w:rsidP="00FF5E5F">
      <w:pPr>
        <w:jc w:val="both"/>
        <w:rPr>
          <w:lang w:eastAsia="ja-JP"/>
        </w:rPr>
      </w:pPr>
    </w:p>
    <w:p w:rsidR="00FC633F" w:rsidRPr="00C1727A" w:rsidRDefault="00FC633F" w:rsidP="00FC633F">
      <w:pPr>
        <w:pStyle w:val="3"/>
        <w:numPr>
          <w:ilvl w:val="0"/>
          <w:numId w:val="0"/>
        </w:numPr>
        <w:rPr>
          <w:rFonts w:eastAsia="游明朝"/>
          <w:i/>
          <w:sz w:val="26"/>
          <w:shd w:val="pct15" w:color="auto" w:fill="FFFFFF"/>
        </w:rPr>
      </w:pPr>
      <w:bookmarkStart w:id="1" w:name="_Toc5266449"/>
      <w:r w:rsidRPr="00C1727A">
        <w:rPr>
          <w:rFonts w:eastAsia="游明朝"/>
          <w:i/>
          <w:sz w:val="26"/>
          <w:shd w:val="pct15" w:color="auto" w:fill="FFFFFF"/>
        </w:rPr>
        <w:t>5.4A.1</w:t>
      </w:r>
      <w:r w:rsidRPr="00C1727A">
        <w:rPr>
          <w:rFonts w:eastAsia="游明朝"/>
          <w:i/>
          <w:sz w:val="26"/>
          <w:shd w:val="pct15" w:color="auto" w:fill="FFFFFF"/>
        </w:rPr>
        <w:tab/>
      </w:r>
      <w:r w:rsidRPr="00C1727A">
        <w:rPr>
          <w:rFonts w:eastAsia="游明朝" w:hint="eastAsia"/>
          <w:i/>
          <w:sz w:val="26"/>
          <w:shd w:val="pct15" w:color="auto" w:fill="FFFFFF"/>
        </w:rPr>
        <w:t xml:space="preserve">Channel </w:t>
      </w:r>
      <w:r w:rsidRPr="00C1727A">
        <w:rPr>
          <w:rFonts w:eastAsia="游明朝"/>
          <w:i/>
          <w:sz w:val="26"/>
          <w:shd w:val="pct15" w:color="auto" w:fill="FFFFFF"/>
        </w:rPr>
        <w:t>s</w:t>
      </w:r>
      <w:r w:rsidRPr="00C1727A">
        <w:rPr>
          <w:rFonts w:eastAsia="游明朝" w:hint="eastAsia"/>
          <w:i/>
          <w:sz w:val="26"/>
          <w:shd w:val="pct15" w:color="auto" w:fill="FFFFFF"/>
        </w:rPr>
        <w:t>pacing</w:t>
      </w:r>
      <w:r w:rsidRPr="00C1727A">
        <w:rPr>
          <w:rFonts w:eastAsia="游明朝"/>
          <w:i/>
          <w:sz w:val="26"/>
          <w:shd w:val="pct15" w:color="auto" w:fill="FFFFFF"/>
        </w:rPr>
        <w:t xml:space="preserve"> for CA</w:t>
      </w:r>
      <w:bookmarkEnd w:id="1"/>
    </w:p>
    <w:p w:rsidR="00FC633F" w:rsidRPr="00C1727A" w:rsidRDefault="00FC633F" w:rsidP="00FC633F">
      <w:pPr>
        <w:rPr>
          <w:i/>
          <w:shd w:val="pct15" w:color="auto" w:fill="FFFFFF"/>
        </w:rPr>
      </w:pPr>
      <w:r w:rsidRPr="00C1727A">
        <w:rPr>
          <w:rFonts w:hint="eastAsia"/>
          <w:i/>
          <w:shd w:val="pct15" w:color="auto" w:fill="FFFFFF"/>
        </w:rPr>
        <w:t xml:space="preserve">For intra-band contiguous carrier aggregation with two or more component carriers, the nominal channel spacing between two adjacent </w:t>
      </w:r>
      <w:r w:rsidRPr="00C1727A">
        <w:rPr>
          <w:rFonts w:eastAsia="SimSun" w:hint="eastAsia"/>
          <w:i/>
          <w:shd w:val="pct15" w:color="auto" w:fill="FFFFFF"/>
          <w:lang w:val="en-US" w:eastAsia="zh-CN"/>
        </w:rPr>
        <w:t>NR</w:t>
      </w:r>
      <w:r w:rsidRPr="00C1727A">
        <w:rPr>
          <w:rFonts w:hint="eastAsia"/>
          <w:i/>
          <w:shd w:val="pct15" w:color="auto" w:fill="FFFFFF"/>
        </w:rPr>
        <w:t xml:space="preserve"> component carriers is defined as the following unless stated otherwise:</w:t>
      </w:r>
    </w:p>
    <w:p w:rsidR="00FC633F" w:rsidRPr="00C1727A" w:rsidRDefault="00FC633F" w:rsidP="00FC633F">
      <w:pPr>
        <w:rPr>
          <w:rFonts w:eastAsia="游明朝"/>
          <w:i/>
          <w:shd w:val="pct15" w:color="auto" w:fill="FFFFFF"/>
        </w:rPr>
      </w:pPr>
      <w:r w:rsidRPr="00C1727A">
        <w:rPr>
          <w:rFonts w:eastAsia="游明朝"/>
          <w:i/>
          <w:shd w:val="pct15" w:color="auto" w:fill="FFFFFF"/>
        </w:rPr>
        <w:t>For NR operating bands with 60kHz channel raster:</w:t>
      </w:r>
    </w:p>
    <w:p w:rsidR="00FC633F" w:rsidRPr="00C1727A" w:rsidRDefault="00FC633F" w:rsidP="00FC633F">
      <w:pPr>
        <w:pStyle w:val="EQ"/>
        <w:jc w:val="center"/>
        <w:rPr>
          <w:rFonts w:eastAsia="SimSun"/>
          <w:i/>
          <w:position w:val="-36"/>
          <w:shd w:val="pct15" w:color="auto" w:fill="FFFFFF"/>
          <w:lang w:eastAsia="zh-CN"/>
        </w:rPr>
      </w:pPr>
      <w:r w:rsidRPr="00C1727A">
        <w:rPr>
          <w:rFonts w:eastAsia="SimSun"/>
          <w:i/>
          <w:position w:val="-36"/>
          <w:shd w:val="pct15" w:color="auto" w:fill="FFFFFF"/>
          <w:lang w:eastAsia="zh-CN"/>
        </w:rPr>
        <mc:AlternateContent>
          <mc:Choice Requires="v">
            <w:object w:dxaOrig="467.40pt" w:dyaOrig="43.9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75pt;height:35.55pt;mso-position-horizontal-relative:page;mso-position-vertical-relative:page" o:ole="">
                <v:fill o:detectmouseclick="t"/>
                <v:imagedata r:id="rId9" o:title=""/>
              </v:shape>
              <o:OLEObject Type="Embed" ProgID="Equation.3" ShapeID="对象 7" DrawAspect="Content" ObjectID="_1619508835" r:id="rId10">
                <o:FieldCodes>\* MERGEFORMAT</o:FieldCodes>
              </o:OLEObject>
            </w:object>
          </mc:Choice>
          <mc:Fallback>
            <w:object>
              <w:drawing>
                <wp:inline distT="0" distB="0" distL="0" distR="0" wp14:anchorId="3072E4A2" wp14:editId="54AA4424">
                  <wp:extent cx="5216525" cy="451485"/>
                  <wp:effectExtent l="0" t="0" r="3175" b="5715"/>
                  <wp:docPr id="1"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对象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6525" cy="451485"/>
                          </a:xfrm>
                          <a:prstGeom prst="rect">
                            <a:avLst/>
                          </a:prstGeom>
                          <a:noFill/>
                          <a:ln>
                            <a:noFill/>
                          </a:ln>
                        </pic:spPr>
                      </pic:pic>
                    </a:graphicData>
                  </a:graphic>
                </wp:inline>
              </w:drawing>
            </w:object>
          </mc:Fallback>
        </mc:AlternateContent>
      </w:r>
    </w:p>
    <w:p w:rsidR="00FC633F" w:rsidRPr="00C1727A" w:rsidRDefault="00FC633F" w:rsidP="00FC633F">
      <w:pPr>
        <w:rPr>
          <w:rFonts w:eastAsia="游明朝"/>
          <w:i/>
          <w:shd w:val="pct15" w:color="auto" w:fill="FFFFFF"/>
          <w:lang w:eastAsia="zh-CN"/>
        </w:rPr>
      </w:pPr>
      <w:r w:rsidRPr="00C1727A">
        <w:rPr>
          <w:rFonts w:eastAsia="游明朝"/>
          <w:i/>
          <w:shd w:val="pct15" w:color="auto" w:fill="FFFFFF"/>
          <w:lang w:eastAsia="zh-CN"/>
        </w:rPr>
        <w:t>with</w:t>
      </w:r>
    </w:p>
    <w:p w:rsidR="00FC633F" w:rsidRPr="00C1727A" w:rsidRDefault="00FC633F" w:rsidP="00FC633F">
      <w:pPr>
        <w:pStyle w:val="EQ"/>
        <w:jc w:val="center"/>
        <w:rPr>
          <w:rFonts w:eastAsia="SimSun"/>
          <w:i/>
          <w:shd w:val="pct15" w:color="auto" w:fill="FFFFFF"/>
          <w:lang w:val="en-US" w:eastAsia="zh-CN"/>
        </w:rPr>
      </w:pPr>
      <w:r w:rsidRPr="00C1727A">
        <w:rPr>
          <w:rFonts w:eastAsia="SimSun" w:hint="eastAsia"/>
          <w:i/>
          <w:position w:val="-10"/>
          <w:shd w:val="pct15" w:color="auto" w:fill="FFFFFF"/>
          <w:lang w:val="en-US" w:eastAsia="zh-CN"/>
        </w:rPr>
        <mc:AlternateContent>
          <mc:Choice Requires="v">
            <w:object w:dxaOrig="98pt" w:dyaOrig="17pt">
              <v:shape id="_x0000_i1026" type="#_x0000_t75" style="width:82.15pt;height:15.25pt" o:ole="">
                <v:imagedata r:id="rId12" o:title=""/>
              </v:shape>
              <o:OLEObject Type="Embed" ProgID="Equation.3" ShapeID="_x0000_i1026" DrawAspect="Content" ObjectID="_1619508836" r:id="rId13">
                <o:FieldCodes>\* MERGEFORMAT</o:FieldCodes>
              </o:OLEObject>
            </w:object>
          </mc:Choice>
          <mc:Fallback>
            <w:object>
              <w:drawing>
                <wp:inline distT="0" distB="0" distL="0" distR="0" wp14:anchorId="3617BEA8" wp14:editId="29BB768C">
                  <wp:extent cx="1043305" cy="193675"/>
                  <wp:effectExtent l="0" t="0" r="4445" b="0"/>
                  <wp:docPr id="1" name="オブジェクト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19508836" isActiveX="0" linkType=""/>
                              </a:ext>
                            </a:extLst>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3305" cy="193675"/>
                          </a:xfrm>
                          <a:prstGeom prst="rect">
                            <a:avLst/>
                          </a:prstGeom>
                          <a:noFill/>
                          <a:ln>
                            <a:noFill/>
                          </a:ln>
                        </pic:spPr>
                      </pic:pic>
                    </a:graphicData>
                  </a:graphic>
                </wp:inline>
              </w:drawing>
              <w:objectEmbed w:drawAspect="content" r:id="rId13" w:progId="Equation.3" w:shapeId="1" w:fieldCodes="\* MERGEFORMAT"/>
            </w:object>
          </mc:Fallback>
        </mc:AlternateContent>
      </w:r>
    </w:p>
    <w:p w:rsidR="00FC633F" w:rsidRPr="00C1727A" w:rsidRDefault="00FC633F" w:rsidP="00FC633F">
      <w:pPr>
        <w:rPr>
          <w:rFonts w:eastAsia="游明朝"/>
          <w:i/>
          <w:shd w:val="pct15" w:color="auto" w:fill="FFFFFF"/>
          <w:lang w:val="en-US" w:eastAsia="zh-CN"/>
        </w:rPr>
      </w:pPr>
      <w:r w:rsidRPr="00C1727A">
        <w:rPr>
          <w:rFonts w:eastAsia="游明朝"/>
          <w:i/>
          <w:shd w:val="pct15" w:color="auto" w:fill="FFFFFF"/>
          <w:lang w:val="en-US" w:eastAsia="zh-CN"/>
        </w:rPr>
        <w:t xml:space="preserve">where </w:t>
      </w:r>
      <w:proofErr w:type="spellStart"/>
      <w:proofErr w:type="gramStart"/>
      <w:r w:rsidRPr="00C1727A">
        <w:rPr>
          <w:rFonts w:eastAsia="游明朝"/>
          <w:i/>
          <w:shd w:val="pct15" w:color="auto" w:fill="FFFFFF"/>
          <w:lang w:val="en-US" w:eastAsia="zh-CN"/>
        </w:rPr>
        <w:t>BW</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w:t>
      </w:r>
      <w:proofErr w:type="gramEnd"/>
      <w:r w:rsidRPr="00C1727A">
        <w:rPr>
          <w:rFonts w:eastAsia="游明朝"/>
          <w:i/>
          <w:shd w:val="pct15" w:color="auto" w:fill="FFFFFF"/>
          <w:vertAlign w:val="subscript"/>
          <w:lang w:val="en-US" w:eastAsia="zh-CN"/>
        </w:rPr>
        <w:t xml:space="preserve">1) </w:t>
      </w:r>
      <w:r w:rsidRPr="00C1727A">
        <w:rPr>
          <w:rFonts w:eastAsia="游明朝"/>
          <w:i/>
          <w:shd w:val="pct15" w:color="auto" w:fill="FFFFFF"/>
          <w:lang w:val="en-US" w:eastAsia="zh-CN"/>
        </w:rPr>
        <w:t xml:space="preserve">and </w:t>
      </w:r>
      <w:proofErr w:type="spellStart"/>
      <w:r w:rsidRPr="00C1727A">
        <w:rPr>
          <w:rFonts w:eastAsia="游明朝"/>
          <w:i/>
          <w:shd w:val="pct15" w:color="auto" w:fill="FFFFFF"/>
          <w:lang w:val="en-US" w:eastAsia="zh-CN"/>
        </w:rPr>
        <w:t>BW</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(2)</w:t>
      </w:r>
      <w:r w:rsidRPr="00C1727A">
        <w:rPr>
          <w:rFonts w:eastAsia="游明朝"/>
          <w:i/>
          <w:shd w:val="pct15" w:color="auto" w:fill="FFFFFF"/>
          <w:lang w:val="en-US" w:eastAsia="zh-CN"/>
        </w:rPr>
        <w:t xml:space="preserve"> are the channel bandwidths of the two respective NR component carriers according to Table 5.3.2-1 with values in </w:t>
      </w:r>
      <w:proofErr w:type="spellStart"/>
      <w:r w:rsidRPr="00C1727A">
        <w:rPr>
          <w:rFonts w:eastAsia="游明朝"/>
          <w:i/>
          <w:shd w:val="pct15" w:color="auto" w:fill="FFFFFF"/>
          <w:lang w:val="en-US" w:eastAsia="zh-CN"/>
        </w:rPr>
        <w:t>MHz.</w:t>
      </w:r>
      <w:proofErr w:type="spellEnd"/>
      <w:r w:rsidRPr="00C1727A">
        <w:rPr>
          <w:rFonts w:eastAsia="游明朝"/>
          <w:i/>
          <w:shd w:val="pct15" w:color="auto" w:fill="FFFFFF"/>
          <w:lang w:val="en-US" w:eastAsia="zh-CN"/>
        </w:rPr>
        <w:t xml:space="preserve"> and the </w:t>
      </w:r>
      <w:proofErr w:type="spellStart"/>
      <w:r w:rsidRPr="00C1727A">
        <w:rPr>
          <w:rFonts w:eastAsia="游明朝"/>
          <w:i/>
          <w:shd w:val="pct15" w:color="auto" w:fill="FFFFFF"/>
          <w:lang w:val="en-US" w:eastAsia="zh-CN"/>
        </w:rPr>
        <w:t>GB</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w:t>
      </w:r>
      <w:proofErr w:type="spellStart"/>
      <w:r w:rsidRPr="00C1727A">
        <w:rPr>
          <w:rFonts w:eastAsia="游明朝"/>
          <w:i/>
          <w:shd w:val="pct15" w:color="auto" w:fill="FFFFFF"/>
          <w:vertAlign w:val="subscript"/>
          <w:lang w:val="en-US" w:eastAsia="zh-CN"/>
        </w:rPr>
        <w:t>i</w:t>
      </w:r>
      <w:proofErr w:type="spellEnd"/>
      <w:r w:rsidRPr="00C1727A">
        <w:rPr>
          <w:rFonts w:eastAsia="游明朝"/>
          <w:i/>
          <w:shd w:val="pct15" w:color="auto" w:fill="FFFFFF"/>
          <w:vertAlign w:val="subscript"/>
          <w:lang w:val="en-US" w:eastAsia="zh-CN"/>
        </w:rPr>
        <w:t>)</w:t>
      </w:r>
      <w:r w:rsidRPr="00C1727A">
        <w:rPr>
          <w:rFonts w:eastAsia="游明朝"/>
          <w:i/>
          <w:shd w:val="pct15" w:color="auto" w:fill="FFFFFF"/>
          <w:lang w:val="en-US" w:eastAsia="zh-CN"/>
        </w:rPr>
        <w:t xml:space="preserve"> is the minimum guard band defined in sub-clause 5.3.3, while µ</w:t>
      </w:r>
      <w:r w:rsidRPr="00C1727A">
        <w:rPr>
          <w:rFonts w:eastAsia="游明朝"/>
          <w:i/>
          <w:shd w:val="pct15" w:color="auto" w:fill="FFFFFF"/>
          <w:vertAlign w:val="subscript"/>
          <w:lang w:val="en-US" w:eastAsia="zh-CN"/>
        </w:rPr>
        <w:t>1</w:t>
      </w:r>
      <w:r w:rsidRPr="00C1727A">
        <w:rPr>
          <w:rFonts w:eastAsia="游明朝"/>
          <w:i/>
          <w:shd w:val="pct15" w:color="auto" w:fill="FFFFFF"/>
          <w:lang w:val="en-US" w:eastAsia="zh-CN"/>
        </w:rPr>
        <w:t xml:space="preserve"> and µ</w:t>
      </w:r>
      <w:r w:rsidRPr="00C1727A">
        <w:rPr>
          <w:rFonts w:eastAsia="游明朝"/>
          <w:i/>
          <w:shd w:val="pct15" w:color="auto" w:fill="FFFFFF"/>
          <w:vertAlign w:val="subscript"/>
          <w:lang w:val="en-US" w:eastAsia="zh-CN"/>
        </w:rPr>
        <w:t>2</w:t>
      </w:r>
      <w:r w:rsidRPr="00C1727A">
        <w:rPr>
          <w:rFonts w:eastAsia="游明朝"/>
          <w:i/>
          <w:shd w:val="pct15" w:color="auto" w:fill="FFFFFF"/>
          <w:lang w:val="en-US" w:eastAsia="zh-CN"/>
        </w:rPr>
        <w:t xml:space="preserve"> are the subcarrier spacing configurations of the component carriers as defined in TS 38.211 [9]. </w:t>
      </w:r>
      <w:r w:rsidRPr="00C1727A">
        <w:rPr>
          <w:rFonts w:eastAsia="游明朝"/>
          <w:i/>
          <w:highlight w:val="cyan"/>
          <w:shd w:val="pct15" w:color="auto" w:fill="FFFFFF"/>
          <w:lang w:val="en-US" w:eastAsia="zh-CN"/>
        </w:rPr>
        <w:t>The channel spacing for intra-band contiguous carrier aggregation can be adjusted to any multiple of sub-carrier spacing less than the nominal channel spacing</w:t>
      </w:r>
      <w:r w:rsidRPr="00C1727A">
        <w:rPr>
          <w:rFonts w:eastAsia="游明朝"/>
          <w:i/>
          <w:shd w:val="pct15" w:color="auto" w:fill="FFFFFF"/>
          <w:lang w:val="en-US" w:eastAsia="zh-CN"/>
        </w:rPr>
        <w:t xml:space="preserve"> to optimize performance in a particular deployment scenario.</w:t>
      </w:r>
    </w:p>
    <w:p w:rsidR="00951A7B" w:rsidRDefault="00951A7B" w:rsidP="00FF5E5F">
      <w:pPr>
        <w:jc w:val="both"/>
        <w:rPr>
          <w:lang w:eastAsia="ja-JP"/>
        </w:rPr>
      </w:pPr>
    </w:p>
    <w:p w:rsidR="00060EEA" w:rsidRPr="00060EEA" w:rsidRDefault="00E35746" w:rsidP="00FF5E5F">
      <w:pPr>
        <w:jc w:val="both"/>
        <w:rPr>
          <w:lang w:eastAsia="ja-JP"/>
        </w:rPr>
      </w:pPr>
      <w:r>
        <w:rPr>
          <w:lang w:eastAsia="ja-JP"/>
        </w:rPr>
        <w:t xml:space="preserve">In the recent meetings, definition of NCS has been re-discussed in RAN4, and </w:t>
      </w:r>
      <w:r w:rsidR="00574EF1">
        <w:rPr>
          <w:lang w:eastAsia="ja-JP"/>
        </w:rPr>
        <w:t xml:space="preserve">following two options are considered </w:t>
      </w:r>
      <w:r w:rsidR="00060EEA">
        <w:rPr>
          <w:lang w:eastAsia="ja-JP"/>
        </w:rPr>
        <w:t xml:space="preserve">as RAN4’s assumption </w:t>
      </w:r>
      <w:r w:rsidR="00574EF1">
        <w:rPr>
          <w:lang w:eastAsia="ja-JP"/>
        </w:rPr>
        <w:t>according to WF [3].</w:t>
      </w:r>
      <w:r w:rsidR="00060EEA">
        <w:rPr>
          <w:lang w:eastAsia="ja-JP"/>
        </w:rPr>
        <w:t xml:space="preserve"> With simple formula (Option 1, (3)), NCS becomes 99.84 MHz regardless of SCSs.</w:t>
      </w:r>
    </w:p>
    <w:p w:rsidR="000B00A0" w:rsidRPr="00F20ECD" w:rsidRDefault="000B00A0" w:rsidP="000B00A0">
      <w:pPr>
        <w:jc w:val="both"/>
        <w:rPr>
          <w:i/>
          <w:shd w:val="pct15" w:color="auto" w:fill="FFFFFF"/>
          <w:lang w:eastAsia="ja-JP"/>
        </w:rPr>
      </w:pPr>
      <w:r w:rsidRPr="00F20ECD">
        <w:rPr>
          <w:i/>
          <w:shd w:val="pct15" w:color="auto" w:fill="FFFFFF"/>
          <w:lang w:eastAsia="ja-JP"/>
        </w:rPr>
        <w:lastRenderedPageBreak/>
        <w:t>The equation to calculate the nominal channel spacing:</w:t>
      </w:r>
    </w:p>
    <w:p w:rsidR="000B00A0" w:rsidRPr="00F20ECD" w:rsidRDefault="000B00A0" w:rsidP="000B00A0">
      <w:pPr>
        <w:numPr>
          <w:ilvl w:val="0"/>
          <w:numId w:val="15"/>
        </w:numPr>
        <w:jc w:val="both"/>
        <w:rPr>
          <w:i/>
          <w:shd w:val="pct15" w:color="auto" w:fill="FFFFFF"/>
          <w:lang w:eastAsia="ja-JP"/>
        </w:rPr>
      </w:pPr>
      <w:r w:rsidRPr="00F20ECD">
        <w:rPr>
          <w:i/>
          <w:shd w:val="pct15" w:color="auto" w:fill="FFFFFF"/>
          <w:lang w:eastAsia="ja-JP"/>
        </w:rPr>
        <w:t>Option 1</w:t>
      </w:r>
      <w:r w:rsidRPr="00F20ECD">
        <w:rPr>
          <w:i/>
          <w:shd w:val="pct15" w:color="auto" w:fill="FFFFFF"/>
          <w:lang w:eastAsia="ja-JP"/>
        </w:rPr>
        <w:tab/>
      </w:r>
      <w:r w:rsidR="00060EEA">
        <w:rPr>
          <w:i/>
          <w:shd w:val="pct15" w:color="auto" w:fill="FFFFFF"/>
          <w:lang w:eastAsia="ja-JP"/>
        </w:rPr>
        <w:tab/>
      </w:r>
      <w:r w:rsidRPr="00F20ECD">
        <w:rPr>
          <w:i/>
          <w:shd w:val="pct15" w:color="auto" w:fill="FFFFFF"/>
          <w:lang w:eastAsia="ja-JP"/>
        </w:rPr>
        <w:t>The formulas in R4-1902870 apply for the calculation of the nominal channel spacing for CA</w:t>
      </w:r>
    </w:p>
    <w:p w:rsidR="00951A7B" w:rsidRPr="00F20ECD" w:rsidRDefault="000B00A0" w:rsidP="000B00A0">
      <w:pPr>
        <w:numPr>
          <w:ilvl w:val="0"/>
          <w:numId w:val="15"/>
        </w:numPr>
        <w:jc w:val="both"/>
        <w:rPr>
          <w:i/>
          <w:shd w:val="pct15" w:color="auto" w:fill="FFFFFF"/>
          <w:lang w:eastAsia="ja-JP"/>
        </w:rPr>
      </w:pPr>
      <w:r w:rsidRPr="00F20ECD">
        <w:rPr>
          <w:i/>
          <w:shd w:val="pct15" w:color="auto" w:fill="FFFFFF"/>
          <w:lang w:eastAsia="ja-JP"/>
        </w:rPr>
        <w:t>Option 2</w:t>
      </w:r>
      <w:r w:rsidRPr="00F20ECD">
        <w:rPr>
          <w:i/>
          <w:shd w:val="pct15" w:color="auto" w:fill="FFFFFF"/>
          <w:lang w:eastAsia="ja-JP"/>
        </w:rPr>
        <w:tab/>
      </w:r>
      <w:r w:rsidR="00060EEA">
        <w:rPr>
          <w:i/>
          <w:shd w:val="pct15" w:color="auto" w:fill="FFFFFF"/>
          <w:lang w:eastAsia="ja-JP"/>
        </w:rPr>
        <w:tab/>
      </w:r>
      <w:r w:rsidRPr="00F20ECD">
        <w:rPr>
          <w:i/>
          <w:shd w:val="pct15" w:color="auto" w:fill="FFFFFF"/>
          <w:lang w:eastAsia="ja-JP"/>
        </w:rPr>
        <w:t>Keep the current specs unchanged by defining a reference SCS mapping to the reference bandwidth</w:t>
      </w:r>
    </w:p>
    <w:p w:rsidR="00060EEA" w:rsidRPr="00060EEA" w:rsidRDefault="00060EEA" w:rsidP="00060EEA">
      <w:pPr>
        <w:pStyle w:val="aff1"/>
        <w:keepNext/>
        <w:numPr>
          <w:ilvl w:val="0"/>
          <w:numId w:val="15"/>
        </w:numPr>
        <w:jc w:val="center"/>
        <w:rPr>
          <w:i/>
          <w:shd w:val="pct15" w:color="auto" w:fill="FFFFFF"/>
        </w:rPr>
      </w:pPr>
      <m:oMath>
        <m:r>
          <w:rPr>
            <w:rFonts w:ascii="Cambria Math" w:hAnsi="Cambria Math"/>
            <w:shd w:val="pct15" w:color="auto" w:fill="FFFFFF"/>
          </w:rPr>
          <m:t>Nominal channel spacing=</m:t>
        </m:r>
        <m:d>
          <m:dPr>
            <m:begChr m:val="⌊"/>
            <m:endChr m:val="⌋"/>
            <m:ctrlPr>
              <w:rPr>
                <w:rFonts w:ascii="Cambria Math" w:eastAsia="游明朝" w:hAnsi="Cambria Math"/>
                <w:i/>
                <w:shd w:val="pct15" w:color="auto" w:fill="FFFFFF"/>
                <w:lang w:eastAsia="ja-JP"/>
              </w:rPr>
            </m:ctrlPr>
          </m:dPr>
          <m:e>
            <m:f>
              <m:fPr>
                <m:ctrlPr>
                  <w:rPr>
                    <w:rFonts w:ascii="Cambria Math" w:eastAsia="游明朝" w:hAnsi="Cambria Math"/>
                    <w:i/>
                    <w:shd w:val="pct15" w:color="auto" w:fill="FFFFFF"/>
                    <w:lang w:eastAsia="ja-JP"/>
                  </w:rPr>
                </m:ctrlPr>
              </m:fPr>
              <m:num>
                <m:sSub>
                  <m:sSubPr>
                    <m:ctrlPr>
                      <w:rPr>
                        <w:rFonts w:ascii="Cambria Math" w:eastAsia="游明朝" w:hAnsi="Cambria Math"/>
                        <w:i/>
                        <w:shd w:val="pct15" w:color="auto" w:fill="FFFFFF"/>
                        <w:lang w:eastAsia="ja-JP"/>
                      </w:rPr>
                    </m:ctrlPr>
                  </m:sSubPr>
                  <m:e>
                    <m:r>
                      <w:rPr>
                        <w:rFonts w:ascii="Cambria Math" w:hAnsi="Cambria Math"/>
                        <w:shd w:val="pct15" w:color="auto" w:fill="FFFFFF"/>
                      </w:rPr>
                      <m:t>BW</m:t>
                    </m:r>
                  </m:e>
                  <m:sub>
                    <m:r>
                      <w:rPr>
                        <w:rFonts w:ascii="Cambria Math" w:hAnsi="Cambria Math"/>
                        <w:shd w:val="pct15" w:color="auto" w:fill="FFFFFF"/>
                      </w:rPr>
                      <m:t>Channel(1)</m:t>
                    </m:r>
                  </m:sub>
                </m:sSub>
                <m:r>
                  <w:rPr>
                    <w:rFonts w:ascii="Cambria Math" w:hAnsi="Cambria Math"/>
                    <w:shd w:val="pct15" w:color="auto" w:fill="FFFFFF"/>
                  </w:rPr>
                  <m:t>+</m:t>
                </m:r>
                <m:sSub>
                  <m:sSubPr>
                    <m:ctrlPr>
                      <w:rPr>
                        <w:rFonts w:ascii="Cambria Math" w:eastAsia="游明朝" w:hAnsi="Cambria Math"/>
                        <w:i/>
                        <w:shd w:val="pct15" w:color="auto" w:fill="FFFFFF"/>
                        <w:lang w:eastAsia="ja-JP"/>
                      </w:rPr>
                    </m:ctrlPr>
                  </m:sSubPr>
                  <m:e>
                    <m:r>
                      <w:rPr>
                        <w:rFonts w:ascii="Cambria Math" w:hAnsi="Cambria Math"/>
                        <w:shd w:val="pct15" w:color="auto" w:fill="FFFFFF"/>
                      </w:rPr>
                      <m:t>BW</m:t>
                    </m:r>
                  </m:e>
                  <m:sub>
                    <m:r>
                      <w:rPr>
                        <w:rFonts w:ascii="Cambria Math" w:hAnsi="Cambria Math"/>
                        <w:shd w:val="pct15" w:color="auto" w:fill="FFFFFF"/>
                      </w:rPr>
                      <m:t>Channel(2)</m:t>
                    </m:r>
                  </m:sub>
                </m:sSub>
              </m:num>
              <m:den>
                <m:r>
                  <w:rPr>
                    <w:rFonts w:ascii="Cambria Math" w:hAnsi="Cambria Math"/>
                    <w:shd w:val="pct15" w:color="auto" w:fill="FFFFFF"/>
                  </w:rPr>
                  <m:t>0.48</m:t>
                </m:r>
              </m:den>
            </m:f>
          </m:e>
        </m:d>
        <m:r>
          <w:rPr>
            <w:rFonts w:ascii="Cambria Math" w:hAnsi="Cambria Math"/>
            <w:shd w:val="pct15" w:color="auto" w:fill="FFFFFF"/>
          </w:rPr>
          <m:t xml:space="preserve">0.24 </m:t>
        </m:r>
        <m:d>
          <m:dPr>
            <m:begChr m:val="["/>
            <m:endChr m:val="]"/>
            <m:ctrlPr>
              <w:rPr>
                <w:rFonts w:ascii="Cambria Math" w:hAnsi="Cambria Math"/>
                <w:i/>
                <w:shd w:val="pct15" w:color="auto" w:fill="FFFFFF"/>
              </w:rPr>
            </m:ctrlPr>
          </m:dPr>
          <m:e>
            <m:r>
              <w:rPr>
                <w:rFonts w:ascii="Cambria Math" w:hAnsi="Cambria Math"/>
                <w:shd w:val="pct15" w:color="auto" w:fill="FFFFFF"/>
              </w:rPr>
              <m:t>MHz</m:t>
            </m:r>
          </m:e>
        </m:d>
        <m:r>
          <w:rPr>
            <w:rFonts w:ascii="Cambria Math" w:hAnsi="Cambria Math"/>
            <w:shd w:val="pct15" w:color="auto" w:fill="FFFFFF"/>
          </w:rPr>
          <m:t xml:space="preserve">                  </m:t>
        </m:r>
      </m:oMath>
      <w:r w:rsidRPr="00060EEA">
        <w:rPr>
          <w:i/>
          <w:shd w:val="pct15" w:color="auto" w:fill="FFFFFF"/>
        </w:rPr>
        <w:t xml:space="preserve"> (3)</w:t>
      </w:r>
    </w:p>
    <w:p w:rsidR="00951A7B" w:rsidRPr="00060EEA" w:rsidRDefault="00951A7B" w:rsidP="00FF5E5F">
      <w:pPr>
        <w:jc w:val="both"/>
        <w:rPr>
          <w:lang w:val="en-US" w:eastAsia="ja-JP"/>
        </w:rPr>
      </w:pPr>
    </w:p>
    <w:p w:rsidR="00BA6653" w:rsidRDefault="008145D1" w:rsidP="00BA6653">
      <w:pPr>
        <w:pStyle w:val="2"/>
        <w:rPr>
          <w:lang w:eastAsia="ja-JP"/>
        </w:rPr>
      </w:pPr>
      <w:r>
        <w:rPr>
          <w:lang w:eastAsia="ja-JP"/>
        </w:rPr>
        <w:t>Channel spacing</w:t>
      </w:r>
      <w:r w:rsidR="00BA6653">
        <w:rPr>
          <w:rFonts w:hint="eastAsia"/>
          <w:lang w:eastAsia="ja-JP"/>
        </w:rPr>
        <w:t xml:space="preserve"> for CA_n257X</w:t>
      </w:r>
    </w:p>
    <w:p w:rsidR="00871588" w:rsidRDefault="00871588" w:rsidP="00FF5E5F">
      <w:pPr>
        <w:jc w:val="both"/>
        <w:rPr>
          <w:lang w:eastAsia="ja-JP"/>
        </w:rPr>
      </w:pPr>
      <w:r>
        <w:rPr>
          <w:lang w:eastAsia="ja-JP"/>
        </w:rPr>
        <w:t>T</w:t>
      </w:r>
      <w:r>
        <w:rPr>
          <w:rFonts w:hint="eastAsia"/>
          <w:lang w:eastAsia="ja-JP"/>
        </w:rPr>
        <w:t xml:space="preserve">his </w:t>
      </w:r>
      <w:r>
        <w:rPr>
          <w:lang w:eastAsia="ja-JP"/>
        </w:rPr>
        <w:t>section describes proposed test channel spacing for FR2 intra-band contiguous CA with Band n257.</w:t>
      </w:r>
    </w:p>
    <w:p w:rsidR="00871588" w:rsidRDefault="00871588" w:rsidP="00871588">
      <w:pPr>
        <w:jc w:val="both"/>
        <w:rPr>
          <w:lang w:eastAsia="ja-JP"/>
        </w:rPr>
      </w:pPr>
      <w:r>
        <w:rPr>
          <w:lang w:eastAsia="ja-JP"/>
        </w:rPr>
        <w:t>First, a</w:t>
      </w:r>
      <w:r>
        <w:rPr>
          <w:rFonts w:hint="eastAsia"/>
          <w:lang w:eastAsia="ja-JP"/>
        </w:rPr>
        <w:t xml:space="preserve">s </w:t>
      </w:r>
      <w:r w:rsidR="00C44D61">
        <w:rPr>
          <w:lang w:eastAsia="ja-JP"/>
        </w:rPr>
        <w:t>described in section 3</w:t>
      </w:r>
      <w:r>
        <w:rPr>
          <w:lang w:eastAsia="ja-JP"/>
        </w:rPr>
        <w:t>.1</w:t>
      </w:r>
      <w:r w:rsidR="004830D6">
        <w:rPr>
          <w:lang w:eastAsia="ja-JP"/>
        </w:rPr>
        <w:t>, channel spacing should be less</w:t>
      </w:r>
      <w:r>
        <w:rPr>
          <w:lang w:eastAsia="ja-JP"/>
        </w:rPr>
        <w:t xml:space="preserve"> than or equal to NCS. R</w:t>
      </w:r>
      <w:r>
        <w:rPr>
          <w:rFonts w:hint="eastAsia"/>
          <w:lang w:eastAsia="ja-JP"/>
        </w:rPr>
        <w:t xml:space="preserve">egarding </w:t>
      </w:r>
      <w:r>
        <w:rPr>
          <w:lang w:eastAsia="ja-JP"/>
        </w:rPr>
        <w:t>CA_n257G (100 MHz x 2 CCs) cases, NCS can be calculated as below. In symmetric case (</w:t>
      </w:r>
      <w:proofErr w:type="spellStart"/>
      <w:proofErr w:type="gramStart"/>
      <w:r>
        <w:rPr>
          <w:lang w:eastAsia="ja-JP"/>
        </w:rPr>
        <w:t>BW</w:t>
      </w:r>
      <w:r w:rsidRPr="00934A54">
        <w:rPr>
          <w:vertAlign w:val="subscript"/>
          <w:lang w:eastAsia="ja-JP"/>
        </w:rPr>
        <w:t>Channel</w:t>
      </w:r>
      <w:proofErr w:type="spellEnd"/>
      <w:r w:rsidRPr="00934A54">
        <w:rPr>
          <w:vertAlign w:val="subscript"/>
          <w:lang w:eastAsia="ja-JP"/>
        </w:rPr>
        <w:t>(</w:t>
      </w:r>
      <w:proofErr w:type="gramEnd"/>
      <w:r w:rsidRPr="00934A54">
        <w:rPr>
          <w:vertAlign w:val="subscript"/>
          <w:lang w:eastAsia="ja-JP"/>
        </w:rPr>
        <w:t>1)</w:t>
      </w:r>
      <w:r>
        <w:rPr>
          <w:lang w:eastAsia="ja-JP"/>
        </w:rPr>
        <w:t xml:space="preserve"> = </w:t>
      </w:r>
      <w:proofErr w:type="spellStart"/>
      <w:r>
        <w:rPr>
          <w:lang w:eastAsia="ja-JP"/>
        </w:rPr>
        <w:t>BW</w:t>
      </w:r>
      <w:r w:rsidRPr="00934A54">
        <w:rPr>
          <w:vertAlign w:val="subscript"/>
          <w:lang w:eastAsia="ja-JP"/>
        </w:rPr>
        <w:t>Channel</w:t>
      </w:r>
      <w:proofErr w:type="spellEnd"/>
      <w:r w:rsidRPr="00934A54">
        <w:rPr>
          <w:vertAlign w:val="subscript"/>
          <w:lang w:eastAsia="ja-JP"/>
        </w:rPr>
        <w:t>(2)</w:t>
      </w:r>
      <w:r>
        <w:rPr>
          <w:lang w:eastAsia="ja-JP"/>
        </w:rPr>
        <w:t>), NCS depends on only SCS value.</w:t>
      </w:r>
      <w:r w:rsidR="00DC3FAC">
        <w:rPr>
          <w:lang w:eastAsia="ja-JP"/>
        </w:rPr>
        <w:t xml:space="preserve"> From maintainability point of view, it is beneficial for conformance test to define common test channel spacing among SCS parameters. Considering </w:t>
      </w:r>
      <w:r w:rsidR="008145D1">
        <w:rPr>
          <w:lang w:eastAsia="ja-JP"/>
        </w:rPr>
        <w:t>observation 1, lower NCS</w:t>
      </w:r>
      <w:r w:rsidR="00DC3FAC">
        <w:rPr>
          <w:lang w:eastAsia="ja-JP"/>
        </w:rPr>
        <w:t xml:space="preserve"> can be selected.</w:t>
      </w:r>
    </w:p>
    <w:p w:rsidR="002F23E2" w:rsidRPr="002F23E2" w:rsidRDefault="002F23E2" w:rsidP="002F23E2">
      <w:pPr>
        <w:ind w:start="56.90pt" w:hangingChars="567" w:hanging="56.90pt"/>
        <w:rPr>
          <w:b/>
          <w:lang w:eastAsia="ja-JP"/>
        </w:rPr>
      </w:pPr>
      <w:r>
        <w:rPr>
          <w:b/>
          <w:lang w:eastAsia="ja-JP"/>
        </w:rPr>
        <w:t>Observation 2</w:t>
      </w:r>
      <w:r w:rsidRPr="00C64A96">
        <w:rPr>
          <w:b/>
          <w:lang w:eastAsia="ja-JP"/>
        </w:rPr>
        <w:tab/>
        <w:t xml:space="preserve">: </w:t>
      </w:r>
      <w:r w:rsidR="008145D1">
        <w:rPr>
          <w:b/>
          <w:lang w:eastAsia="ja-JP"/>
        </w:rPr>
        <w:t>T</w:t>
      </w:r>
      <w:r>
        <w:rPr>
          <w:b/>
          <w:lang w:eastAsia="ja-JP"/>
        </w:rPr>
        <w:t>est channel spacing for CA_n257X</w:t>
      </w:r>
      <w:r w:rsidR="008145D1">
        <w:rPr>
          <w:b/>
          <w:lang w:eastAsia="ja-JP"/>
        </w:rPr>
        <w:t xml:space="preserve"> should be set</w:t>
      </w:r>
      <w:r w:rsidR="002C06C7">
        <w:rPr>
          <w:b/>
          <w:lang w:eastAsia="ja-JP"/>
        </w:rPr>
        <w:t xml:space="preserve"> as “less</w:t>
      </w:r>
      <w:r w:rsidR="008145D1">
        <w:rPr>
          <w:b/>
          <w:lang w:eastAsia="ja-JP"/>
        </w:rPr>
        <w:t xml:space="preserve"> than or equal to 99.84 MHz”</w:t>
      </w:r>
      <w:r>
        <w:rPr>
          <w:b/>
          <w:lang w:eastAsia="ja-JP"/>
        </w:rPr>
        <w:t>.</w:t>
      </w:r>
    </w:p>
    <w:p w:rsidR="00871588" w:rsidRPr="00E81F4D" w:rsidRDefault="00DC3FAC" w:rsidP="00871588">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00871588" w:rsidRPr="00E81F4D">
        <w:rPr>
          <w:rFonts w:hint="eastAsia"/>
          <w:b/>
          <w:lang w:eastAsia="ja-JP"/>
        </w:rPr>
        <w:t>-1 NCS</w:t>
      </w:r>
      <w:r w:rsidR="00871588">
        <w:rPr>
          <w:b/>
          <w:lang w:eastAsia="ja-JP"/>
        </w:rPr>
        <w:t xml:space="preserve"> for CA_n257G</w:t>
      </w:r>
    </w:p>
    <w:tbl>
      <w:tblPr>
        <w:tblStyle w:val="af6"/>
        <w:tblW w:w="476.30pt" w:type="dxa"/>
        <w:jc w:val="center"/>
        <w:tblLook w:firstRow="1" w:lastRow="0" w:firstColumn="1" w:lastColumn="0" w:noHBand="0" w:noVBand="1"/>
      </w:tblPr>
      <w:tblGrid>
        <w:gridCol w:w="2098"/>
        <w:gridCol w:w="2098"/>
        <w:gridCol w:w="2098"/>
        <w:gridCol w:w="1134"/>
        <w:gridCol w:w="2098"/>
      </w:tblGrid>
      <w:tr w:rsidR="00871588" w:rsidRPr="00F9412A" w:rsidTr="00D751CC">
        <w:trPr>
          <w:jc w:val="center"/>
        </w:trPr>
        <w:tc>
          <w:tcPr>
            <w:tcW w:w="104.90pt" w:type="dxa"/>
          </w:tcPr>
          <w:p w:rsidR="00871588" w:rsidRPr="00F9412A" w:rsidRDefault="00871588" w:rsidP="00D751CC">
            <w:pPr>
              <w:spacing w:after="0pt" w:line="0pt" w:lineRule="atLeast"/>
              <w:jc w:val="center"/>
              <w:rPr>
                <w:b/>
                <w:lang w:eastAsia="ja-JP"/>
              </w:rPr>
            </w:pPr>
            <w:proofErr w:type="spellStart"/>
            <w:r w:rsidRPr="00F9412A">
              <w:rPr>
                <w:rFonts w:hint="eastAsia"/>
                <w:b/>
                <w:lang w:eastAsia="ja-JP"/>
              </w:rPr>
              <w:t>BW</w:t>
            </w:r>
            <w:r w:rsidRPr="00F9412A">
              <w:rPr>
                <w:rFonts w:hint="eastAsia"/>
                <w:b/>
                <w:vertAlign w:val="subscript"/>
                <w:lang w:eastAsia="ja-JP"/>
              </w:rPr>
              <w:t>Channel</w:t>
            </w:r>
            <w:proofErr w:type="spellEnd"/>
            <w:r w:rsidRPr="00F9412A">
              <w:rPr>
                <w:rFonts w:hint="eastAsia"/>
                <w:b/>
                <w:vertAlign w:val="subscript"/>
                <w:lang w:eastAsia="ja-JP"/>
              </w:rPr>
              <w:t xml:space="preserve"> (1</w:t>
            </w:r>
            <w:proofErr w:type="gramStart"/>
            <w:r w:rsidRPr="00F9412A">
              <w:rPr>
                <w:rFonts w:hint="eastAsia"/>
                <w:b/>
                <w:vertAlign w:val="subscript"/>
                <w:lang w:eastAsia="ja-JP"/>
              </w:rPr>
              <w:t>),(</w:t>
            </w:r>
            <w:proofErr w:type="gramEnd"/>
            <w:r w:rsidRPr="00F9412A">
              <w:rPr>
                <w:rFonts w:hint="eastAsia"/>
                <w:b/>
                <w:vertAlign w:val="subscript"/>
                <w:lang w:eastAsia="ja-JP"/>
              </w:rPr>
              <w:t>2)</w:t>
            </w:r>
            <w:r w:rsidRPr="00F9412A">
              <w:rPr>
                <w:b/>
                <w:lang w:eastAsia="ja-JP"/>
              </w:rPr>
              <w:t xml:space="preserve"> [MHz]</w:t>
            </w:r>
          </w:p>
        </w:tc>
        <w:tc>
          <w:tcPr>
            <w:tcW w:w="104.90pt" w:type="dxa"/>
          </w:tcPr>
          <w:p w:rsidR="00871588" w:rsidRPr="00F9412A" w:rsidRDefault="00871588" w:rsidP="00D751CC">
            <w:pPr>
              <w:spacing w:after="0pt" w:line="0pt" w:lineRule="atLeast"/>
              <w:jc w:val="center"/>
              <w:rPr>
                <w:b/>
                <w:lang w:eastAsia="ja-JP"/>
              </w:rPr>
            </w:pPr>
            <w:proofErr w:type="spellStart"/>
            <w:proofErr w:type="gramStart"/>
            <w:r w:rsidRPr="00F9412A">
              <w:rPr>
                <w:rFonts w:hint="eastAsia"/>
                <w:b/>
                <w:lang w:eastAsia="ja-JP"/>
              </w:rPr>
              <w:t>GB</w:t>
            </w:r>
            <w:r w:rsidRPr="00F9412A">
              <w:rPr>
                <w:rFonts w:hint="eastAsia"/>
                <w:b/>
                <w:vertAlign w:val="subscript"/>
                <w:lang w:eastAsia="ja-JP"/>
              </w:rPr>
              <w:t>Channel</w:t>
            </w:r>
            <w:proofErr w:type="spellEnd"/>
            <w:r w:rsidRPr="00F9412A">
              <w:rPr>
                <w:rFonts w:hint="eastAsia"/>
                <w:b/>
                <w:vertAlign w:val="subscript"/>
                <w:lang w:eastAsia="ja-JP"/>
              </w:rPr>
              <w:t>(</w:t>
            </w:r>
            <w:proofErr w:type="gramEnd"/>
            <w:r w:rsidRPr="00F9412A">
              <w:rPr>
                <w:rFonts w:hint="eastAsia"/>
                <w:b/>
                <w:vertAlign w:val="subscript"/>
                <w:lang w:eastAsia="ja-JP"/>
              </w:rPr>
              <w:t>1),(2)</w:t>
            </w:r>
            <w:r w:rsidRPr="00F9412A">
              <w:rPr>
                <w:b/>
                <w:vertAlign w:val="subscript"/>
                <w:lang w:eastAsia="ja-JP"/>
              </w:rPr>
              <w:t xml:space="preserve"> </w:t>
            </w:r>
            <w:r w:rsidRPr="00F9412A">
              <w:rPr>
                <w:b/>
                <w:lang w:eastAsia="ja-JP"/>
              </w:rPr>
              <w:t>[kHz]</w:t>
            </w:r>
          </w:p>
        </w:tc>
        <w:tc>
          <w:tcPr>
            <w:tcW w:w="104.90pt" w:type="dxa"/>
          </w:tcPr>
          <w:p w:rsidR="00871588" w:rsidRPr="00F9412A" w:rsidRDefault="00871588" w:rsidP="00D751CC">
            <w:pPr>
              <w:spacing w:after="0pt" w:line="0pt" w:lineRule="atLeast"/>
              <w:jc w:val="center"/>
              <w:rPr>
                <w:b/>
                <w:lang w:eastAsia="ja-JP"/>
              </w:rPr>
            </w:pPr>
            <w:r w:rsidRPr="00F9412A">
              <w:rPr>
                <w:rFonts w:hint="eastAsia"/>
                <w:b/>
                <w:lang w:eastAsia="ja-JP"/>
              </w:rPr>
              <w:t>SCS [kHz]</w:t>
            </w:r>
          </w:p>
        </w:tc>
        <w:tc>
          <w:tcPr>
            <w:tcW w:w="56.70pt" w:type="dxa"/>
          </w:tcPr>
          <w:p w:rsidR="00871588" w:rsidRPr="00F9412A" w:rsidRDefault="00871588" w:rsidP="00D751CC">
            <w:pPr>
              <w:spacing w:after="0pt" w:line="0pt" w:lineRule="atLeast"/>
              <w:jc w:val="center"/>
              <w:rPr>
                <w:b/>
                <w:lang w:eastAsia="ja-JP"/>
              </w:rPr>
            </w:pPr>
            <w:r w:rsidRPr="00F9412A">
              <w:rPr>
                <w:rFonts w:hint="eastAsia"/>
                <w:b/>
                <w:lang w:eastAsia="ja-JP"/>
              </w:rPr>
              <w:t>n</w:t>
            </w:r>
          </w:p>
        </w:tc>
        <w:tc>
          <w:tcPr>
            <w:tcW w:w="104.90pt" w:type="dxa"/>
          </w:tcPr>
          <w:p w:rsidR="00871588" w:rsidRPr="00F9412A" w:rsidRDefault="00871588" w:rsidP="00D751CC">
            <w:pPr>
              <w:spacing w:after="0pt" w:line="0pt" w:lineRule="atLeast"/>
              <w:jc w:val="center"/>
              <w:rPr>
                <w:b/>
                <w:lang w:eastAsia="ja-JP"/>
              </w:rPr>
            </w:pPr>
            <w:r w:rsidRPr="00F9412A">
              <w:rPr>
                <w:rFonts w:hint="eastAsia"/>
                <w:b/>
                <w:lang w:eastAsia="ja-JP"/>
              </w:rPr>
              <w:t>NCS [MHz]</w:t>
            </w:r>
          </w:p>
        </w:tc>
      </w:tr>
      <w:tr w:rsidR="00871588" w:rsidTr="00D751CC">
        <w:trPr>
          <w:jc w:val="center"/>
        </w:trPr>
        <w:tc>
          <w:tcPr>
            <w:tcW w:w="104.90pt" w:type="dxa"/>
          </w:tcPr>
          <w:p w:rsidR="00871588" w:rsidRDefault="00871588" w:rsidP="00D751CC">
            <w:pPr>
              <w:spacing w:after="0pt" w:line="0pt" w:lineRule="atLeast"/>
              <w:jc w:val="center"/>
              <w:rPr>
                <w:lang w:eastAsia="ja-JP"/>
              </w:rPr>
            </w:pPr>
            <w:r>
              <w:rPr>
                <w:rFonts w:hint="eastAsia"/>
                <w:lang w:eastAsia="ja-JP"/>
              </w:rPr>
              <w:t>100</w:t>
            </w:r>
          </w:p>
        </w:tc>
        <w:tc>
          <w:tcPr>
            <w:tcW w:w="104.90pt" w:type="dxa"/>
          </w:tcPr>
          <w:p w:rsidR="00871588" w:rsidRDefault="00871588" w:rsidP="00D751CC">
            <w:pPr>
              <w:spacing w:after="0pt" w:line="0pt" w:lineRule="atLeast"/>
              <w:jc w:val="center"/>
              <w:rPr>
                <w:lang w:eastAsia="ja-JP"/>
              </w:rPr>
            </w:pPr>
            <w:r>
              <w:rPr>
                <w:rFonts w:hint="eastAsia"/>
                <w:lang w:eastAsia="ja-JP"/>
              </w:rPr>
              <w:t>2450</w:t>
            </w:r>
          </w:p>
        </w:tc>
        <w:tc>
          <w:tcPr>
            <w:tcW w:w="104.90pt" w:type="dxa"/>
          </w:tcPr>
          <w:p w:rsidR="00871588" w:rsidRDefault="00871588" w:rsidP="00D751CC">
            <w:pPr>
              <w:spacing w:after="0pt" w:line="0pt" w:lineRule="atLeast"/>
              <w:jc w:val="center"/>
              <w:rPr>
                <w:lang w:eastAsia="ja-JP"/>
              </w:rPr>
            </w:pPr>
            <w:r>
              <w:rPr>
                <w:rFonts w:hint="eastAsia"/>
                <w:lang w:eastAsia="ja-JP"/>
              </w:rPr>
              <w:t>60</w:t>
            </w:r>
          </w:p>
        </w:tc>
        <w:tc>
          <w:tcPr>
            <w:tcW w:w="56.70pt" w:type="dxa"/>
          </w:tcPr>
          <w:p w:rsidR="00871588" w:rsidRDefault="00871588" w:rsidP="00D751CC">
            <w:pPr>
              <w:spacing w:after="0pt" w:line="0pt" w:lineRule="atLeast"/>
              <w:jc w:val="center"/>
              <w:rPr>
                <w:lang w:eastAsia="ja-JP"/>
              </w:rPr>
            </w:pPr>
            <w:r>
              <w:rPr>
                <w:rFonts w:hint="eastAsia"/>
                <w:lang w:eastAsia="ja-JP"/>
              </w:rPr>
              <w:t>0</w:t>
            </w:r>
          </w:p>
        </w:tc>
        <w:tc>
          <w:tcPr>
            <w:tcW w:w="104.90pt" w:type="dxa"/>
          </w:tcPr>
          <w:p w:rsidR="00871588" w:rsidRPr="00934A54" w:rsidRDefault="00871588" w:rsidP="00D751CC">
            <w:pPr>
              <w:spacing w:after="0pt" w:line="0pt" w:lineRule="atLeast"/>
              <w:jc w:val="center"/>
              <w:rPr>
                <w:b/>
                <w:lang w:eastAsia="ja-JP"/>
              </w:rPr>
            </w:pPr>
            <w:r w:rsidRPr="00934A54">
              <w:rPr>
                <w:rFonts w:hint="eastAsia"/>
                <w:b/>
                <w:lang w:eastAsia="ja-JP"/>
              </w:rPr>
              <w:t>99.96</w:t>
            </w:r>
          </w:p>
        </w:tc>
      </w:tr>
      <w:tr w:rsidR="00871588" w:rsidTr="00D751CC">
        <w:trPr>
          <w:jc w:val="center"/>
        </w:trPr>
        <w:tc>
          <w:tcPr>
            <w:tcW w:w="104.90pt" w:type="dxa"/>
          </w:tcPr>
          <w:p w:rsidR="00871588" w:rsidRDefault="00871588" w:rsidP="00D751CC">
            <w:pPr>
              <w:spacing w:after="0pt" w:line="0pt" w:lineRule="atLeast"/>
              <w:jc w:val="center"/>
              <w:rPr>
                <w:lang w:eastAsia="ja-JP"/>
              </w:rPr>
            </w:pPr>
            <w:r>
              <w:rPr>
                <w:rFonts w:hint="eastAsia"/>
                <w:lang w:eastAsia="ja-JP"/>
              </w:rPr>
              <w:t>100</w:t>
            </w:r>
          </w:p>
        </w:tc>
        <w:tc>
          <w:tcPr>
            <w:tcW w:w="104.90pt" w:type="dxa"/>
          </w:tcPr>
          <w:p w:rsidR="00871588" w:rsidRDefault="00871588" w:rsidP="00D751CC">
            <w:pPr>
              <w:spacing w:after="0pt" w:line="0pt" w:lineRule="atLeast"/>
              <w:jc w:val="center"/>
              <w:rPr>
                <w:lang w:eastAsia="ja-JP"/>
              </w:rPr>
            </w:pPr>
            <w:r>
              <w:rPr>
                <w:rFonts w:hint="eastAsia"/>
                <w:lang w:eastAsia="ja-JP"/>
              </w:rPr>
              <w:t>2420</w:t>
            </w:r>
          </w:p>
        </w:tc>
        <w:tc>
          <w:tcPr>
            <w:tcW w:w="104.90pt" w:type="dxa"/>
          </w:tcPr>
          <w:p w:rsidR="00871588" w:rsidRDefault="00871588" w:rsidP="00D751CC">
            <w:pPr>
              <w:spacing w:after="0pt" w:line="0pt" w:lineRule="atLeast"/>
              <w:jc w:val="center"/>
              <w:rPr>
                <w:lang w:eastAsia="ja-JP"/>
              </w:rPr>
            </w:pPr>
            <w:r>
              <w:rPr>
                <w:rFonts w:hint="eastAsia"/>
                <w:lang w:eastAsia="ja-JP"/>
              </w:rPr>
              <w:t>120</w:t>
            </w:r>
          </w:p>
        </w:tc>
        <w:tc>
          <w:tcPr>
            <w:tcW w:w="56.70pt" w:type="dxa"/>
          </w:tcPr>
          <w:p w:rsidR="00871588" w:rsidRDefault="00871588" w:rsidP="00D751CC">
            <w:pPr>
              <w:spacing w:after="0pt" w:line="0pt" w:lineRule="atLeast"/>
              <w:jc w:val="center"/>
              <w:rPr>
                <w:lang w:eastAsia="ja-JP"/>
              </w:rPr>
            </w:pPr>
            <w:r>
              <w:rPr>
                <w:rFonts w:hint="eastAsia"/>
                <w:lang w:eastAsia="ja-JP"/>
              </w:rPr>
              <w:t>1</w:t>
            </w:r>
          </w:p>
        </w:tc>
        <w:tc>
          <w:tcPr>
            <w:tcW w:w="104.90pt" w:type="dxa"/>
          </w:tcPr>
          <w:p w:rsidR="00871588" w:rsidRPr="00934A54" w:rsidRDefault="00871588" w:rsidP="00D751CC">
            <w:pPr>
              <w:spacing w:after="0pt" w:line="0pt" w:lineRule="atLeast"/>
              <w:jc w:val="center"/>
              <w:rPr>
                <w:b/>
                <w:lang w:eastAsia="ja-JP"/>
              </w:rPr>
            </w:pPr>
            <w:r w:rsidRPr="00934A54">
              <w:rPr>
                <w:rFonts w:hint="eastAsia"/>
                <w:b/>
                <w:lang w:eastAsia="ja-JP"/>
              </w:rPr>
              <w:t>99.84</w:t>
            </w:r>
          </w:p>
        </w:tc>
      </w:tr>
    </w:tbl>
    <w:p w:rsidR="00871588" w:rsidRDefault="00871588" w:rsidP="00871588">
      <w:pPr>
        <w:jc w:val="both"/>
        <w:rPr>
          <w:lang w:eastAsia="ja-JP"/>
        </w:rPr>
      </w:pPr>
    </w:p>
    <w:p w:rsidR="00951A7B" w:rsidRDefault="008145D1" w:rsidP="00FF5E5F">
      <w:pPr>
        <w:jc w:val="both"/>
        <w:rPr>
          <w:lang w:eastAsia="ja-JP"/>
        </w:rPr>
      </w:pPr>
      <w:r>
        <w:rPr>
          <w:lang w:eastAsia="ja-JP"/>
        </w:rPr>
        <w:t>I</w:t>
      </w:r>
      <w:r>
        <w:rPr>
          <w:rFonts w:hint="eastAsia"/>
          <w:lang w:eastAsia="ja-JP"/>
        </w:rPr>
        <w:t xml:space="preserve">n </w:t>
      </w:r>
      <w:r>
        <w:rPr>
          <w:lang w:eastAsia="ja-JP"/>
        </w:rPr>
        <w:t xml:space="preserve">addition, future scalability should be considered when defining test channel spacing. Following figure 5.3.1-1 </w:t>
      </w:r>
      <w:r w:rsidR="00D62CD1">
        <w:rPr>
          <w:lang w:eastAsia="ja-JP"/>
        </w:rPr>
        <w:t>describes relationship between channel bandwidth and the transmission bandwidth configuration.</w:t>
      </w:r>
      <w:r w:rsidR="00E01483">
        <w:rPr>
          <w:lang w:eastAsia="ja-JP"/>
        </w:rPr>
        <w:t xml:space="preserve"> In this example of n257 CA, transmission bandwidth can be calculated as 95.04 MHz as described in Table </w:t>
      </w:r>
      <w:r w:rsidR="009C5489">
        <w:rPr>
          <w:lang w:eastAsia="ja-JP"/>
        </w:rPr>
        <w:t>3</w:t>
      </w:r>
      <w:r w:rsidR="00E01483">
        <w:rPr>
          <w:lang w:eastAsia="ja-JP"/>
        </w:rPr>
        <w:t>.3-2.</w:t>
      </w:r>
    </w:p>
    <w:p w:rsidR="008145D1" w:rsidRPr="00617B38" w:rsidRDefault="008145D1" w:rsidP="008145D1">
      <w:pPr>
        <w:jc w:val="center"/>
        <w:rPr>
          <w:rFonts w:eastAsia="游明朝"/>
        </w:rPr>
      </w:pPr>
      <w:r w:rsidRPr="00617B38">
        <w:rPr>
          <w:noProof/>
          <w:lang w:val="en-US" w:eastAsia="ja-JP"/>
        </w:rPr>
        <w:drawing>
          <wp:inline distT="0" distB="0" distL="0" distR="0" wp14:anchorId="0E66F979" wp14:editId="1F7D5320">
            <wp:extent cx="5524500" cy="2743200"/>
            <wp:effectExtent l="0" t="0" r="0" b="0"/>
            <wp:docPr id="231" name="Picture 23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rsidR="008145D1" w:rsidRPr="008145D1" w:rsidRDefault="008145D1" w:rsidP="008145D1">
      <w:pPr>
        <w:pStyle w:val="TF"/>
        <w:rPr>
          <w:i/>
          <w:sz w:val="18"/>
          <w:shd w:val="pct15" w:color="auto" w:fill="FFFFFF"/>
        </w:rPr>
      </w:pPr>
      <w:r w:rsidRPr="008145D1">
        <w:rPr>
          <w:i/>
          <w:sz w:val="18"/>
          <w:shd w:val="pct15" w:color="auto" w:fill="FFFFFF"/>
        </w:rPr>
        <w:t>Figure 5.3.1-1: Definition of channel bandwidth and transmission bandwidth configuration for one NR channel</w:t>
      </w:r>
    </w:p>
    <w:p w:rsidR="00951A7B" w:rsidRDefault="00951A7B" w:rsidP="00FF5E5F">
      <w:pPr>
        <w:jc w:val="both"/>
        <w:rPr>
          <w:lang w:eastAsia="ja-JP"/>
        </w:rPr>
      </w:pPr>
    </w:p>
    <w:p w:rsidR="00D62CD1" w:rsidRPr="00E81F4D" w:rsidRDefault="00D62CD1" w:rsidP="00D62CD1">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Pr="00E81F4D">
        <w:rPr>
          <w:rFonts w:hint="eastAsia"/>
          <w:b/>
          <w:lang w:eastAsia="ja-JP"/>
        </w:rPr>
        <w:t>-</w:t>
      </w:r>
      <w:r>
        <w:rPr>
          <w:b/>
          <w:lang w:eastAsia="ja-JP"/>
        </w:rPr>
        <w:t>2</w:t>
      </w:r>
      <w:r w:rsidRPr="00E81F4D">
        <w:rPr>
          <w:rFonts w:hint="eastAsia"/>
          <w:b/>
          <w:lang w:eastAsia="ja-JP"/>
        </w:rPr>
        <w:t xml:space="preserve"> </w:t>
      </w:r>
      <w:r>
        <w:rPr>
          <w:b/>
          <w:lang w:eastAsia="ja-JP"/>
        </w:rPr>
        <w:t>Transmission BW</w:t>
      </w:r>
    </w:p>
    <w:tbl>
      <w:tblPr>
        <w:tblStyle w:val="af6"/>
        <w:tblW w:w="399.65pt" w:type="dxa"/>
        <w:jc w:val="center"/>
        <w:tblLook w:firstRow="1" w:lastRow="0" w:firstColumn="1" w:lastColumn="0" w:noHBand="0" w:noVBand="1"/>
      </w:tblPr>
      <w:tblGrid>
        <w:gridCol w:w="1814"/>
        <w:gridCol w:w="1814"/>
        <w:gridCol w:w="1814"/>
        <w:gridCol w:w="2551"/>
      </w:tblGrid>
      <w:tr w:rsidR="00D62CD1" w:rsidRPr="00F9412A" w:rsidTr="00D62CD1">
        <w:trPr>
          <w:jc w:val="center"/>
        </w:trPr>
        <w:tc>
          <w:tcPr>
            <w:tcW w:w="90.70pt" w:type="dxa"/>
          </w:tcPr>
          <w:p w:rsidR="00D62CD1" w:rsidRPr="00F9412A" w:rsidRDefault="00D62CD1" w:rsidP="00D62CD1">
            <w:pPr>
              <w:spacing w:after="0pt" w:line="0pt" w:lineRule="atLeast"/>
              <w:jc w:val="center"/>
              <w:rPr>
                <w:b/>
                <w:lang w:eastAsia="ja-JP"/>
              </w:rPr>
            </w:pPr>
            <w:r>
              <w:rPr>
                <w:rFonts w:hint="eastAsia"/>
                <w:b/>
                <w:lang w:eastAsia="ja-JP"/>
              </w:rPr>
              <w:t>SCS</w:t>
            </w:r>
            <w:r>
              <w:rPr>
                <w:b/>
                <w:lang w:eastAsia="ja-JP"/>
              </w:rPr>
              <w:t xml:space="preserve"> [kHz]</w:t>
            </w:r>
          </w:p>
        </w:tc>
        <w:tc>
          <w:tcPr>
            <w:tcW w:w="90.70pt" w:type="dxa"/>
          </w:tcPr>
          <w:p w:rsidR="00D62CD1" w:rsidRPr="00F9412A" w:rsidRDefault="00D62CD1" w:rsidP="00D62CD1">
            <w:pPr>
              <w:spacing w:after="0pt" w:line="0pt" w:lineRule="atLeast"/>
              <w:jc w:val="center"/>
              <w:rPr>
                <w:b/>
                <w:lang w:eastAsia="ja-JP"/>
              </w:rPr>
            </w:pPr>
            <w:r>
              <w:rPr>
                <w:b/>
                <w:lang w:eastAsia="ja-JP"/>
              </w:rPr>
              <w:t>BW / 1</w:t>
            </w:r>
            <w:r>
              <w:rPr>
                <w:rFonts w:hint="eastAsia"/>
                <w:b/>
                <w:lang w:eastAsia="ja-JP"/>
              </w:rPr>
              <w:t>RB</w:t>
            </w:r>
            <w:r>
              <w:rPr>
                <w:b/>
                <w:lang w:eastAsia="ja-JP"/>
              </w:rPr>
              <w:t xml:space="preserve"> [MHz]</w:t>
            </w:r>
          </w:p>
        </w:tc>
        <w:tc>
          <w:tcPr>
            <w:tcW w:w="90.70pt" w:type="dxa"/>
          </w:tcPr>
          <w:p w:rsidR="00D62CD1" w:rsidRPr="00F9412A" w:rsidRDefault="00D62CD1" w:rsidP="00D751CC">
            <w:pPr>
              <w:spacing w:after="0pt" w:line="0pt" w:lineRule="atLeast"/>
              <w:jc w:val="center"/>
              <w:rPr>
                <w:b/>
                <w:lang w:eastAsia="ja-JP"/>
              </w:rPr>
            </w:pPr>
            <w:r>
              <w:rPr>
                <w:rFonts w:hint="eastAsia"/>
                <w:b/>
                <w:lang w:eastAsia="ja-JP"/>
              </w:rPr>
              <w:t>N</w:t>
            </w:r>
            <w:r w:rsidRPr="00D62CD1">
              <w:rPr>
                <w:rFonts w:hint="eastAsia"/>
                <w:b/>
                <w:vertAlign w:val="subscript"/>
                <w:lang w:eastAsia="ja-JP"/>
              </w:rPr>
              <w:t>RB</w:t>
            </w:r>
            <w:r>
              <w:rPr>
                <w:rFonts w:hint="eastAsia"/>
                <w:b/>
                <w:lang w:eastAsia="ja-JP"/>
              </w:rPr>
              <w:t xml:space="preserve"> </w:t>
            </w:r>
            <w:r>
              <w:rPr>
                <w:b/>
                <w:lang w:eastAsia="ja-JP"/>
              </w:rPr>
              <w:t>[RB]</w:t>
            </w:r>
          </w:p>
        </w:tc>
        <w:tc>
          <w:tcPr>
            <w:tcW w:w="127.55pt" w:type="dxa"/>
          </w:tcPr>
          <w:p w:rsidR="00D62CD1" w:rsidRPr="00F9412A" w:rsidRDefault="00D62CD1" w:rsidP="00D62CD1">
            <w:pPr>
              <w:spacing w:after="0pt" w:line="0pt" w:lineRule="atLeast"/>
              <w:jc w:val="center"/>
              <w:rPr>
                <w:b/>
                <w:lang w:eastAsia="ja-JP"/>
              </w:rPr>
            </w:pPr>
            <w:r>
              <w:rPr>
                <w:rFonts w:hint="eastAsia"/>
                <w:b/>
                <w:lang w:eastAsia="ja-JP"/>
              </w:rPr>
              <w:t>Transmission BW</w:t>
            </w:r>
            <w:r>
              <w:rPr>
                <w:b/>
                <w:lang w:eastAsia="ja-JP"/>
              </w:rPr>
              <w:t xml:space="preserve"> [MHz]</w:t>
            </w:r>
          </w:p>
        </w:tc>
      </w:tr>
      <w:tr w:rsidR="00D62CD1" w:rsidTr="00D62CD1">
        <w:trPr>
          <w:jc w:val="center"/>
        </w:trPr>
        <w:tc>
          <w:tcPr>
            <w:tcW w:w="90.70pt" w:type="dxa"/>
          </w:tcPr>
          <w:p w:rsidR="00D62CD1" w:rsidRDefault="00D62CD1" w:rsidP="00D751CC">
            <w:pPr>
              <w:spacing w:after="0pt" w:line="0pt" w:lineRule="atLeast"/>
              <w:jc w:val="center"/>
              <w:rPr>
                <w:lang w:eastAsia="ja-JP"/>
              </w:rPr>
            </w:pPr>
            <w:r>
              <w:rPr>
                <w:rFonts w:hint="eastAsia"/>
                <w:lang w:eastAsia="ja-JP"/>
              </w:rPr>
              <w:t>60</w:t>
            </w:r>
          </w:p>
        </w:tc>
        <w:tc>
          <w:tcPr>
            <w:tcW w:w="90.70pt" w:type="dxa"/>
          </w:tcPr>
          <w:p w:rsidR="00D62CD1" w:rsidRDefault="00D62CD1" w:rsidP="00D751CC">
            <w:pPr>
              <w:spacing w:after="0pt" w:line="0pt" w:lineRule="atLeast"/>
              <w:jc w:val="center"/>
              <w:rPr>
                <w:lang w:eastAsia="ja-JP"/>
              </w:rPr>
            </w:pPr>
            <w:r>
              <w:rPr>
                <w:rFonts w:hint="eastAsia"/>
                <w:lang w:eastAsia="ja-JP"/>
              </w:rPr>
              <w:t>0.72</w:t>
            </w:r>
          </w:p>
        </w:tc>
        <w:tc>
          <w:tcPr>
            <w:tcW w:w="90.70pt" w:type="dxa"/>
          </w:tcPr>
          <w:p w:rsidR="00D62CD1" w:rsidRDefault="00D62CD1" w:rsidP="00D751CC">
            <w:pPr>
              <w:spacing w:after="0pt" w:line="0pt" w:lineRule="atLeast"/>
              <w:jc w:val="center"/>
              <w:rPr>
                <w:lang w:eastAsia="ja-JP"/>
              </w:rPr>
            </w:pPr>
            <w:r>
              <w:rPr>
                <w:rFonts w:hint="eastAsia"/>
                <w:lang w:eastAsia="ja-JP"/>
              </w:rPr>
              <w:t>132</w:t>
            </w:r>
          </w:p>
        </w:tc>
        <w:tc>
          <w:tcPr>
            <w:tcW w:w="127.55pt" w:type="dxa"/>
          </w:tcPr>
          <w:p w:rsidR="00D62CD1" w:rsidRPr="00934A54" w:rsidRDefault="00D62CD1" w:rsidP="00D751CC">
            <w:pPr>
              <w:spacing w:after="0pt" w:line="0pt" w:lineRule="atLeast"/>
              <w:jc w:val="center"/>
              <w:rPr>
                <w:b/>
                <w:lang w:eastAsia="ja-JP"/>
              </w:rPr>
            </w:pPr>
            <w:r>
              <w:rPr>
                <w:rFonts w:hint="eastAsia"/>
                <w:b/>
                <w:lang w:eastAsia="ja-JP"/>
              </w:rPr>
              <w:t>95.04</w:t>
            </w:r>
          </w:p>
        </w:tc>
      </w:tr>
      <w:tr w:rsidR="00D62CD1" w:rsidTr="00D62CD1">
        <w:trPr>
          <w:jc w:val="center"/>
        </w:trPr>
        <w:tc>
          <w:tcPr>
            <w:tcW w:w="90.70pt" w:type="dxa"/>
          </w:tcPr>
          <w:p w:rsidR="00D62CD1" w:rsidRDefault="00D62CD1" w:rsidP="00D751CC">
            <w:pPr>
              <w:spacing w:after="0pt" w:line="0pt" w:lineRule="atLeast"/>
              <w:jc w:val="center"/>
              <w:rPr>
                <w:lang w:eastAsia="ja-JP"/>
              </w:rPr>
            </w:pPr>
            <w:r>
              <w:rPr>
                <w:rFonts w:hint="eastAsia"/>
                <w:lang w:eastAsia="ja-JP"/>
              </w:rPr>
              <w:t>120</w:t>
            </w:r>
          </w:p>
        </w:tc>
        <w:tc>
          <w:tcPr>
            <w:tcW w:w="90.70pt" w:type="dxa"/>
          </w:tcPr>
          <w:p w:rsidR="00D62CD1" w:rsidRDefault="00D62CD1" w:rsidP="00D751CC">
            <w:pPr>
              <w:spacing w:after="0pt" w:line="0pt" w:lineRule="atLeast"/>
              <w:jc w:val="center"/>
              <w:rPr>
                <w:lang w:eastAsia="ja-JP"/>
              </w:rPr>
            </w:pPr>
            <w:r>
              <w:rPr>
                <w:rFonts w:hint="eastAsia"/>
                <w:lang w:eastAsia="ja-JP"/>
              </w:rPr>
              <w:t>1.44</w:t>
            </w:r>
          </w:p>
        </w:tc>
        <w:tc>
          <w:tcPr>
            <w:tcW w:w="90.70pt" w:type="dxa"/>
          </w:tcPr>
          <w:p w:rsidR="00D62CD1" w:rsidRDefault="00D62CD1" w:rsidP="00D751CC">
            <w:pPr>
              <w:spacing w:after="0pt" w:line="0pt" w:lineRule="atLeast"/>
              <w:jc w:val="center"/>
              <w:rPr>
                <w:lang w:eastAsia="ja-JP"/>
              </w:rPr>
            </w:pPr>
            <w:r>
              <w:rPr>
                <w:rFonts w:hint="eastAsia"/>
                <w:lang w:eastAsia="ja-JP"/>
              </w:rPr>
              <w:t>66</w:t>
            </w:r>
          </w:p>
        </w:tc>
        <w:tc>
          <w:tcPr>
            <w:tcW w:w="127.55pt" w:type="dxa"/>
          </w:tcPr>
          <w:p w:rsidR="00D62CD1" w:rsidRPr="00934A54" w:rsidRDefault="00D62CD1" w:rsidP="00D751CC">
            <w:pPr>
              <w:spacing w:after="0pt" w:line="0pt" w:lineRule="atLeast"/>
              <w:jc w:val="center"/>
              <w:rPr>
                <w:b/>
                <w:lang w:eastAsia="ja-JP"/>
              </w:rPr>
            </w:pPr>
            <w:r>
              <w:rPr>
                <w:rFonts w:hint="eastAsia"/>
                <w:b/>
                <w:lang w:eastAsia="ja-JP"/>
              </w:rPr>
              <w:t>95.04</w:t>
            </w:r>
          </w:p>
        </w:tc>
      </w:tr>
    </w:tbl>
    <w:p w:rsidR="00D62CD1" w:rsidRDefault="00D62CD1" w:rsidP="00D62CD1">
      <w:pPr>
        <w:jc w:val="both"/>
        <w:rPr>
          <w:lang w:eastAsia="ja-JP"/>
        </w:rPr>
      </w:pPr>
    </w:p>
    <w:p w:rsidR="00951A7B" w:rsidRPr="00920270" w:rsidRDefault="00E01483" w:rsidP="00FF5E5F">
      <w:pPr>
        <w:jc w:val="both"/>
        <w:rPr>
          <w:lang w:eastAsia="ja-JP"/>
        </w:rPr>
      </w:pPr>
      <w:r>
        <w:rPr>
          <w:lang w:eastAsia="ja-JP"/>
        </w:rPr>
        <w:lastRenderedPageBreak/>
        <w:t>F</w:t>
      </w:r>
      <w:r>
        <w:rPr>
          <w:rFonts w:hint="eastAsia"/>
          <w:lang w:eastAsia="ja-JP"/>
        </w:rPr>
        <w:t xml:space="preserve">ollowing </w:t>
      </w:r>
      <w:r>
        <w:rPr>
          <w:lang w:eastAsia="ja-JP"/>
        </w:rPr>
        <w:t xml:space="preserve">figure summarizes </w:t>
      </w:r>
      <w:r w:rsidR="00920270">
        <w:rPr>
          <w:rFonts w:hint="eastAsia"/>
          <w:lang w:eastAsia="ja-JP"/>
        </w:rPr>
        <w:t xml:space="preserve">channel spacing in intra-band contiguous CA, and channel spacing can be calculated as </w:t>
      </w:r>
      <w:r w:rsidR="00071E0C">
        <w:rPr>
          <w:lang w:eastAsia="ja-JP"/>
        </w:rPr>
        <w:t>“95.04</w:t>
      </w:r>
      <w:r w:rsidR="00920270">
        <w:rPr>
          <w:lang w:eastAsia="ja-JP"/>
        </w:rPr>
        <w:t xml:space="preserve"> (47.52 x 2) MHz + Guard</w:t>
      </w:r>
      <w:r w:rsidR="006A71F2">
        <w:rPr>
          <w:lang w:eastAsia="ja-JP"/>
        </w:rPr>
        <w:t xml:space="preserve"> </w:t>
      </w:r>
      <w:r w:rsidR="00920270">
        <w:rPr>
          <w:lang w:eastAsia="ja-JP"/>
        </w:rPr>
        <w:t xml:space="preserve">band”. In Rel-16 NR core specification, guard band can be optimized (reduced) in order to enhance transmission efficiency. Considering this future scalability, guard band should be set as </w:t>
      </w:r>
      <w:r w:rsidR="00920270" w:rsidRPr="00920270">
        <w:rPr>
          <w:lang w:eastAsia="ja-JP"/>
        </w:rPr>
        <w:t>integral multiple</w:t>
      </w:r>
      <w:r w:rsidR="00920270">
        <w:rPr>
          <w:lang w:eastAsia="ja-JP"/>
        </w:rPr>
        <w:t xml:space="preserve"> of RB (0.72, 1.44 MHz).</w:t>
      </w:r>
    </w:p>
    <w:p w:rsidR="00920270" w:rsidRPr="002F23E2" w:rsidRDefault="00920270" w:rsidP="00920270">
      <w:pPr>
        <w:ind w:start="56.90pt" w:hangingChars="567" w:hanging="56.90pt"/>
        <w:rPr>
          <w:b/>
          <w:lang w:eastAsia="ja-JP"/>
        </w:rPr>
      </w:pPr>
      <w:r>
        <w:rPr>
          <w:b/>
          <w:lang w:eastAsia="ja-JP"/>
        </w:rPr>
        <w:t>Observation 3</w:t>
      </w:r>
      <w:r w:rsidRPr="00C64A96">
        <w:rPr>
          <w:b/>
          <w:lang w:eastAsia="ja-JP"/>
        </w:rPr>
        <w:tab/>
        <w:t xml:space="preserve">: </w:t>
      </w:r>
      <w:r>
        <w:rPr>
          <w:b/>
          <w:lang w:eastAsia="ja-JP"/>
        </w:rPr>
        <w:t>Test channel spacing for CA_n257X should be set as “95.04 + 0.72, 1.44 x N”.</w:t>
      </w:r>
    </w:p>
    <w:p w:rsidR="00951A7B" w:rsidRPr="00920270" w:rsidRDefault="00951A7B" w:rsidP="00FF5E5F">
      <w:pPr>
        <w:jc w:val="both"/>
        <w:rPr>
          <w:lang w:eastAsia="ja-JP"/>
        </w:rPr>
      </w:pPr>
    </w:p>
    <w:p w:rsidR="00951A7B" w:rsidRDefault="00C41140" w:rsidP="00E01483">
      <w:pPr>
        <w:jc w:val="center"/>
        <w:rPr>
          <w:lang w:eastAsia="ja-JP"/>
        </w:rPr>
      </w:pPr>
      <w:r w:rsidRPr="00C41140">
        <w:rPr>
          <w:noProof/>
        </w:rPr>
        <w:drawing>
          <wp:inline distT="0" distB="0" distL="0" distR="0">
            <wp:extent cx="5147953" cy="1579946"/>
            <wp:effectExtent l="0" t="0" r="0" b="0"/>
            <wp:docPr id="4" name="図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4962" cy="1585166"/>
                    </a:xfrm>
                    <a:prstGeom prst="rect">
                      <a:avLst/>
                    </a:prstGeom>
                    <a:noFill/>
                    <a:ln>
                      <a:noFill/>
                    </a:ln>
                  </pic:spPr>
                </pic:pic>
              </a:graphicData>
            </a:graphic>
          </wp:inline>
        </w:drawing>
      </w:r>
    </w:p>
    <w:p w:rsidR="00951A7B" w:rsidRPr="00E01483" w:rsidRDefault="00E01483" w:rsidP="00E01483">
      <w:pPr>
        <w:jc w:val="center"/>
        <w:rPr>
          <w:b/>
          <w:lang w:eastAsia="ja-JP"/>
        </w:rPr>
      </w:pPr>
      <w:r w:rsidRPr="00E01483">
        <w:rPr>
          <w:rFonts w:hint="eastAsia"/>
          <w:b/>
          <w:lang w:eastAsia="ja-JP"/>
        </w:rPr>
        <w:t xml:space="preserve">Figure </w:t>
      </w:r>
      <w:r w:rsidR="009C5489">
        <w:rPr>
          <w:b/>
          <w:lang w:eastAsia="ja-JP"/>
        </w:rPr>
        <w:t>3</w:t>
      </w:r>
      <w:r w:rsidRPr="00E01483">
        <w:rPr>
          <w:rFonts w:hint="eastAsia"/>
          <w:b/>
          <w:lang w:eastAsia="ja-JP"/>
        </w:rPr>
        <w:t>.3-1: Channel spacing in intra-band contiguous CA</w:t>
      </w:r>
    </w:p>
    <w:p w:rsidR="00951A7B" w:rsidRDefault="00951A7B" w:rsidP="00FF5E5F">
      <w:pPr>
        <w:jc w:val="both"/>
        <w:rPr>
          <w:lang w:eastAsia="ja-JP"/>
        </w:rPr>
      </w:pPr>
    </w:p>
    <w:p w:rsidR="0074016A" w:rsidRPr="00E81F4D" w:rsidRDefault="0074016A" w:rsidP="0074016A">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Pr="00E81F4D">
        <w:rPr>
          <w:rFonts w:hint="eastAsia"/>
          <w:b/>
          <w:lang w:eastAsia="ja-JP"/>
        </w:rPr>
        <w:t>-</w:t>
      </w:r>
      <w:r>
        <w:rPr>
          <w:b/>
          <w:lang w:eastAsia="ja-JP"/>
        </w:rPr>
        <w:t>3</w:t>
      </w:r>
      <w:r w:rsidRPr="00E81F4D">
        <w:rPr>
          <w:rFonts w:hint="eastAsia"/>
          <w:b/>
          <w:lang w:eastAsia="ja-JP"/>
        </w:rPr>
        <w:t xml:space="preserve"> </w:t>
      </w:r>
      <w:r w:rsidR="00AA46C3">
        <w:rPr>
          <w:b/>
          <w:lang w:eastAsia="ja-JP"/>
        </w:rPr>
        <w:t>Channel spacing considering guard band</w:t>
      </w:r>
    </w:p>
    <w:tbl>
      <w:tblPr>
        <w:tblStyle w:val="af6"/>
        <w:tblW w:w="369.65pt" w:type="dxa"/>
        <w:jc w:val="center"/>
        <w:tblLook w:firstRow="1" w:lastRow="0" w:firstColumn="1" w:lastColumn="0" w:noHBand="0" w:noVBand="1"/>
      </w:tblPr>
      <w:tblGrid>
        <w:gridCol w:w="1271"/>
        <w:gridCol w:w="3061"/>
        <w:gridCol w:w="3061"/>
      </w:tblGrid>
      <w:tr w:rsidR="00AA46C3" w:rsidRPr="00F9412A" w:rsidTr="00AA46C3">
        <w:trPr>
          <w:jc w:val="center"/>
        </w:trPr>
        <w:tc>
          <w:tcPr>
            <w:tcW w:w="63.55pt" w:type="dxa"/>
          </w:tcPr>
          <w:p w:rsidR="00AA46C3" w:rsidRDefault="00AA46C3" w:rsidP="007B6B18">
            <w:pPr>
              <w:spacing w:after="0pt" w:line="0pt" w:lineRule="atLeast"/>
              <w:jc w:val="center"/>
              <w:rPr>
                <w:b/>
                <w:lang w:eastAsia="ja-JP"/>
              </w:rPr>
            </w:pPr>
            <w:r>
              <w:rPr>
                <w:rFonts w:hint="eastAsia"/>
                <w:b/>
                <w:lang w:eastAsia="ja-JP"/>
              </w:rPr>
              <w:t>SCS</w:t>
            </w:r>
          </w:p>
        </w:tc>
        <w:tc>
          <w:tcPr>
            <w:tcW w:w="153.05pt" w:type="dxa"/>
          </w:tcPr>
          <w:p w:rsidR="00AA46C3" w:rsidRPr="00F9412A" w:rsidRDefault="00AA46C3" w:rsidP="007B6B18">
            <w:pPr>
              <w:spacing w:after="0pt" w:line="0pt" w:lineRule="atLeast"/>
              <w:jc w:val="center"/>
              <w:rPr>
                <w:b/>
                <w:lang w:eastAsia="ja-JP"/>
              </w:rPr>
            </w:pPr>
            <w:r>
              <w:rPr>
                <w:rFonts w:hint="eastAsia"/>
                <w:b/>
                <w:lang w:eastAsia="ja-JP"/>
              </w:rPr>
              <w:t>Channel spacing</w:t>
            </w:r>
          </w:p>
        </w:tc>
        <w:tc>
          <w:tcPr>
            <w:tcW w:w="153.05pt" w:type="dxa"/>
          </w:tcPr>
          <w:p w:rsidR="00AA46C3" w:rsidRPr="00F9412A" w:rsidRDefault="00AA46C3" w:rsidP="007B6B18">
            <w:pPr>
              <w:spacing w:after="0pt" w:line="0pt" w:lineRule="atLeast"/>
              <w:jc w:val="center"/>
              <w:rPr>
                <w:b/>
                <w:lang w:eastAsia="ja-JP"/>
              </w:rPr>
            </w:pPr>
            <w:r>
              <w:rPr>
                <w:rFonts w:hint="eastAsia"/>
                <w:b/>
                <w:lang w:eastAsia="ja-JP"/>
              </w:rPr>
              <w:t>Calculated value [MHz]</w:t>
            </w:r>
          </w:p>
        </w:tc>
      </w:tr>
      <w:tr w:rsidR="00AA46C3" w:rsidTr="00AA46C3">
        <w:trPr>
          <w:jc w:val="center"/>
        </w:trPr>
        <w:tc>
          <w:tcPr>
            <w:tcW w:w="63.55pt" w:type="dxa"/>
          </w:tcPr>
          <w:p w:rsidR="00AA46C3" w:rsidRDefault="00AA46C3" w:rsidP="007B6B18">
            <w:pPr>
              <w:spacing w:after="0pt" w:line="0pt" w:lineRule="atLeast"/>
              <w:jc w:val="center"/>
              <w:rPr>
                <w:lang w:eastAsia="ja-JP"/>
              </w:rPr>
            </w:pPr>
            <w:r>
              <w:rPr>
                <w:rFonts w:hint="eastAsia"/>
                <w:lang w:eastAsia="ja-JP"/>
              </w:rPr>
              <w:t>60</w:t>
            </w:r>
            <w:r>
              <w:rPr>
                <w:lang w:eastAsia="ja-JP"/>
              </w:rPr>
              <w:t xml:space="preserve"> k</w:t>
            </w:r>
            <w:r>
              <w:rPr>
                <w:rFonts w:hint="eastAsia"/>
                <w:lang w:eastAsia="ja-JP"/>
              </w:rPr>
              <w:t>Hz</w:t>
            </w:r>
          </w:p>
        </w:tc>
        <w:tc>
          <w:tcPr>
            <w:tcW w:w="153.05pt" w:type="dxa"/>
          </w:tcPr>
          <w:p w:rsidR="00AA46C3" w:rsidRDefault="00AA46C3" w:rsidP="007B6B18">
            <w:pPr>
              <w:spacing w:after="0pt" w:line="0pt" w:lineRule="atLeast"/>
              <w:jc w:val="center"/>
              <w:rPr>
                <w:lang w:eastAsia="ja-JP"/>
              </w:rPr>
            </w:pPr>
            <w:r>
              <w:rPr>
                <w:rFonts w:hint="eastAsia"/>
                <w:lang w:eastAsia="ja-JP"/>
              </w:rPr>
              <w:t>95.04 + 0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95.04</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 xml:space="preserve">95.04 + </w:t>
            </w:r>
            <w:r>
              <w:rPr>
                <w:lang w:eastAsia="ja-JP"/>
              </w:rPr>
              <w:t>1</w:t>
            </w:r>
            <w:r>
              <w:rPr>
                <w:rFonts w:hint="eastAsia"/>
                <w:lang w:eastAsia="ja-JP"/>
              </w:rPr>
              <w:t xml:space="preserve">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95.76</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+ 2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96.48</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+ 3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97.20</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+ 4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97.92</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+ 5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98.64</w:t>
            </w:r>
          </w:p>
        </w:tc>
      </w:tr>
      <w:tr w:rsidR="00AA46C3" w:rsidTr="00AA46C3">
        <w:trPr>
          <w:jc w:val="center"/>
        </w:trPr>
        <w:tc>
          <w:tcPr>
            <w:tcW w:w="63.55pt" w:type="dxa"/>
            <w:shd w:val="clear" w:color="auto" w:fill="D9E2F3" w:themeFill="accent5" w:themeFillTint="33"/>
          </w:tcPr>
          <w:p w:rsidR="00AA46C3" w:rsidRDefault="00AA46C3" w:rsidP="007B6B18">
            <w:pPr>
              <w:spacing w:after="0pt" w:line="0pt" w:lineRule="atLeast"/>
              <w:jc w:val="center"/>
              <w:rPr>
                <w:lang w:eastAsia="ja-JP"/>
              </w:rPr>
            </w:pPr>
          </w:p>
        </w:tc>
        <w:tc>
          <w:tcPr>
            <w:tcW w:w="153.05pt" w:type="dxa"/>
            <w:shd w:val="clear" w:color="auto" w:fill="D9E2F3" w:themeFill="accent5" w:themeFillTint="33"/>
          </w:tcPr>
          <w:p w:rsidR="00AA46C3" w:rsidRDefault="00AA46C3" w:rsidP="007B6B18">
            <w:pPr>
              <w:spacing w:after="0pt" w:line="0pt" w:lineRule="atLeast"/>
              <w:jc w:val="center"/>
              <w:rPr>
                <w:lang w:eastAsia="ja-JP"/>
              </w:rPr>
            </w:pPr>
            <w:r>
              <w:rPr>
                <w:rFonts w:hint="eastAsia"/>
                <w:lang w:eastAsia="ja-JP"/>
              </w:rPr>
              <w:t>95.04 + 6 x RB</w:t>
            </w:r>
            <w:r>
              <w:rPr>
                <w:lang w:eastAsia="ja-JP"/>
              </w:rPr>
              <w:t xml:space="preserve"> (0.72)</w:t>
            </w:r>
          </w:p>
        </w:tc>
        <w:tc>
          <w:tcPr>
            <w:tcW w:w="153.05pt" w:type="dxa"/>
            <w:shd w:val="clear" w:color="auto" w:fill="D9E2F3" w:themeFill="accent5" w:themeFillTint="33"/>
          </w:tcPr>
          <w:p w:rsidR="00AA46C3" w:rsidRPr="00AA46C3" w:rsidRDefault="00AA46C3" w:rsidP="007B6B18">
            <w:pPr>
              <w:spacing w:after="0pt" w:line="0pt" w:lineRule="atLeast"/>
              <w:jc w:val="center"/>
              <w:rPr>
                <w:b/>
                <w:lang w:eastAsia="ja-JP"/>
              </w:rPr>
            </w:pPr>
            <w:r w:rsidRPr="00AA46C3">
              <w:rPr>
                <w:rFonts w:hint="eastAsia"/>
                <w:b/>
                <w:lang w:eastAsia="ja-JP"/>
              </w:rPr>
              <w:t>99.36</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+ 7 x RB</w:t>
            </w:r>
            <w:r>
              <w:rPr>
                <w:lang w:eastAsia="ja-JP"/>
              </w:rPr>
              <w:t xml:space="preserve"> (0.72)</w:t>
            </w:r>
          </w:p>
        </w:tc>
        <w:tc>
          <w:tcPr>
            <w:tcW w:w="153.05pt" w:type="dxa"/>
          </w:tcPr>
          <w:p w:rsidR="00AA46C3" w:rsidRDefault="00AA46C3" w:rsidP="00AA46C3">
            <w:pPr>
              <w:spacing w:after="0pt" w:line="0pt" w:lineRule="atLeast"/>
              <w:jc w:val="center"/>
              <w:rPr>
                <w:lang w:eastAsia="ja-JP"/>
              </w:rPr>
            </w:pPr>
            <w:r>
              <w:rPr>
                <w:rFonts w:hint="eastAsia"/>
                <w:lang w:eastAsia="ja-JP"/>
              </w:rPr>
              <w:t>100.08</w:t>
            </w:r>
            <w:r>
              <w:rPr>
                <w:lang w:eastAsia="ja-JP"/>
              </w:rPr>
              <w:t xml:space="preserve"> (&gt; 99.84 MHz)</w:t>
            </w:r>
          </w:p>
        </w:tc>
      </w:tr>
      <w:tr w:rsidR="00AA46C3" w:rsidTr="00AA46C3">
        <w:trPr>
          <w:jc w:val="center"/>
        </w:trPr>
        <w:tc>
          <w:tcPr>
            <w:tcW w:w="63.55pt" w:type="dxa"/>
          </w:tcPr>
          <w:p w:rsidR="00AA46C3" w:rsidRDefault="00AA46C3" w:rsidP="00AA46C3">
            <w:pPr>
              <w:spacing w:after="0pt" w:line="0pt" w:lineRule="atLeast"/>
              <w:jc w:val="center"/>
              <w:rPr>
                <w:lang w:eastAsia="ja-JP"/>
              </w:rPr>
            </w:pPr>
            <w:r>
              <w:rPr>
                <w:rFonts w:hint="eastAsia"/>
                <w:lang w:eastAsia="ja-JP"/>
              </w:rPr>
              <w:t>120</w:t>
            </w:r>
            <w:r>
              <w:rPr>
                <w:lang w:eastAsia="ja-JP"/>
              </w:rPr>
              <w:t xml:space="preserve"> </w:t>
            </w:r>
            <w:r>
              <w:rPr>
                <w:rFonts w:hint="eastAsia"/>
                <w:lang w:eastAsia="ja-JP"/>
              </w:rPr>
              <w:t>kHz</w:t>
            </w:r>
          </w:p>
        </w:tc>
        <w:tc>
          <w:tcPr>
            <w:tcW w:w="153.05pt" w:type="dxa"/>
          </w:tcPr>
          <w:p w:rsidR="00AA46C3" w:rsidRDefault="00AA46C3" w:rsidP="00AA46C3">
            <w:pPr>
              <w:spacing w:after="0pt" w:line="0pt" w:lineRule="atLeast"/>
              <w:jc w:val="center"/>
              <w:rPr>
                <w:lang w:eastAsia="ja-JP"/>
              </w:rPr>
            </w:pPr>
            <w:r>
              <w:rPr>
                <w:rFonts w:hint="eastAsia"/>
                <w:lang w:eastAsia="ja-JP"/>
              </w:rPr>
              <w:t>95.04 + 0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95.04</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 xml:space="preserve">95.04 + </w:t>
            </w:r>
            <w:r>
              <w:rPr>
                <w:lang w:eastAsia="ja-JP"/>
              </w:rPr>
              <w:t>1</w:t>
            </w:r>
            <w:r>
              <w:rPr>
                <w:rFonts w:hint="eastAsia"/>
                <w:lang w:eastAsia="ja-JP"/>
              </w:rPr>
              <w:t xml:space="preserve">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96.48</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95.04 + 2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97.92</w:t>
            </w:r>
          </w:p>
        </w:tc>
      </w:tr>
      <w:tr w:rsidR="00AA46C3" w:rsidTr="00AA46C3">
        <w:trPr>
          <w:jc w:val="center"/>
        </w:trPr>
        <w:tc>
          <w:tcPr>
            <w:tcW w:w="63.55pt" w:type="dxa"/>
            <w:shd w:val="clear" w:color="auto" w:fill="D9E2F3" w:themeFill="accent5" w:themeFillTint="33"/>
          </w:tcPr>
          <w:p w:rsidR="00AA46C3" w:rsidRDefault="00AA46C3" w:rsidP="00AA46C3">
            <w:pPr>
              <w:spacing w:after="0pt" w:line="0pt" w:lineRule="atLeast"/>
              <w:jc w:val="center"/>
              <w:rPr>
                <w:lang w:eastAsia="ja-JP"/>
              </w:rPr>
            </w:pPr>
          </w:p>
        </w:tc>
        <w:tc>
          <w:tcPr>
            <w:tcW w:w="153.05pt" w:type="dxa"/>
            <w:shd w:val="clear" w:color="auto" w:fill="D9E2F3" w:themeFill="accent5" w:themeFillTint="33"/>
          </w:tcPr>
          <w:p w:rsidR="00AA46C3" w:rsidRDefault="00AA46C3" w:rsidP="00AA46C3">
            <w:pPr>
              <w:spacing w:after="0pt" w:line="0pt" w:lineRule="atLeast"/>
              <w:jc w:val="center"/>
              <w:rPr>
                <w:lang w:eastAsia="ja-JP"/>
              </w:rPr>
            </w:pPr>
            <w:r>
              <w:rPr>
                <w:rFonts w:hint="eastAsia"/>
                <w:lang w:eastAsia="ja-JP"/>
              </w:rPr>
              <w:t>95.04 + 3 x RB</w:t>
            </w:r>
            <w:r>
              <w:rPr>
                <w:lang w:eastAsia="ja-JP"/>
              </w:rPr>
              <w:t xml:space="preserve"> (1.44)</w:t>
            </w:r>
          </w:p>
        </w:tc>
        <w:tc>
          <w:tcPr>
            <w:tcW w:w="153.05pt" w:type="dxa"/>
            <w:shd w:val="clear" w:color="auto" w:fill="D9E2F3" w:themeFill="accent5" w:themeFillTint="33"/>
          </w:tcPr>
          <w:p w:rsidR="00AA46C3" w:rsidRPr="00AA46C3" w:rsidRDefault="00AA46C3" w:rsidP="00AA46C3">
            <w:pPr>
              <w:spacing w:after="0pt" w:line="0pt" w:lineRule="atLeast"/>
              <w:jc w:val="center"/>
              <w:rPr>
                <w:b/>
                <w:lang w:eastAsia="ja-JP"/>
              </w:rPr>
            </w:pPr>
            <w:r w:rsidRPr="00AA46C3">
              <w:rPr>
                <w:rFonts w:hint="eastAsia"/>
                <w:b/>
                <w:lang w:eastAsia="ja-JP"/>
              </w:rPr>
              <w:t>99.36</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95.04 + 4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100.80</w:t>
            </w:r>
            <w:r>
              <w:rPr>
                <w:lang w:eastAsia="ja-JP"/>
              </w:rPr>
              <w:t xml:space="preserve"> (&gt; 99.84 MHz)</w:t>
            </w:r>
          </w:p>
        </w:tc>
      </w:tr>
    </w:tbl>
    <w:p w:rsidR="0074016A" w:rsidRDefault="0074016A" w:rsidP="0074016A">
      <w:pPr>
        <w:jc w:val="both"/>
        <w:rPr>
          <w:lang w:eastAsia="ja-JP"/>
        </w:rPr>
      </w:pPr>
    </w:p>
    <w:p w:rsidR="007F419E" w:rsidRPr="00E95EAA" w:rsidRDefault="007F419E" w:rsidP="007F419E">
      <w:pPr>
        <w:pStyle w:val="2"/>
        <w:rPr>
          <w:highlight w:val="green"/>
          <w:lang w:eastAsia="ja-JP"/>
        </w:rPr>
      </w:pPr>
      <w:r w:rsidRPr="00E95EAA">
        <w:rPr>
          <w:highlight w:val="green"/>
          <w:lang w:eastAsia="ja-JP"/>
        </w:rPr>
        <w:t>Core requirement in TS 38.101-2</w:t>
      </w:r>
    </w:p>
    <w:p w:rsidR="007A5A10" w:rsidRPr="00E95EAA" w:rsidRDefault="007A5A10" w:rsidP="007A5A10">
      <w:pPr>
        <w:jc w:val="both"/>
        <w:rPr>
          <w:highlight w:val="green"/>
          <w:lang w:eastAsia="ja-JP"/>
        </w:rPr>
      </w:pPr>
      <w:r w:rsidRPr="00E95EAA">
        <w:rPr>
          <w:highlight w:val="green"/>
          <w:lang w:eastAsia="ja-JP"/>
        </w:rPr>
        <w:t>As described below, some RF core requirements are defined with assumption that NCS (blue highlighted part). For these TCs, it is required to set test channel spacing as NCS to align with core requirement. ACLR, ACS, and In-band blocking requirement are defined with NCS.</w:t>
      </w:r>
    </w:p>
    <w:p w:rsidR="007A5A10" w:rsidRPr="002F23E2" w:rsidRDefault="007A5A10" w:rsidP="007A5A10">
      <w:pPr>
        <w:ind w:start="56.90pt" w:hangingChars="567" w:hanging="56.90pt"/>
        <w:rPr>
          <w:b/>
          <w:lang w:eastAsia="ja-JP"/>
        </w:rPr>
      </w:pPr>
      <w:r w:rsidRPr="00E95EAA">
        <w:rPr>
          <w:b/>
          <w:highlight w:val="green"/>
          <w:lang w:eastAsia="ja-JP"/>
        </w:rPr>
        <w:t>Observation 4</w:t>
      </w:r>
      <w:r w:rsidRPr="00E95EAA">
        <w:rPr>
          <w:b/>
          <w:highlight w:val="green"/>
          <w:lang w:eastAsia="ja-JP"/>
        </w:rPr>
        <w:tab/>
        <w:t>: Core requirements of ACLR, ACS, IBB are defined with NCS.</w:t>
      </w:r>
    </w:p>
    <w:p w:rsidR="007A5A10" w:rsidRPr="007A5A10" w:rsidRDefault="007A5A10" w:rsidP="007A5A10">
      <w:pPr>
        <w:jc w:val="both"/>
        <w:rPr>
          <w:b/>
          <w:lang w:eastAsia="ja-JP"/>
        </w:rPr>
      </w:pPr>
    </w:p>
    <w:p w:rsidR="007F419E" w:rsidRPr="007F419E" w:rsidRDefault="007F419E" w:rsidP="007F419E">
      <w:pPr>
        <w:pStyle w:val="4"/>
        <w:numPr>
          <w:ilvl w:val="0"/>
          <w:numId w:val="0"/>
        </w:numPr>
        <w:rPr>
          <w:i/>
          <w:shd w:val="pct15" w:color="auto" w:fill="FFFFFF"/>
        </w:rPr>
      </w:pPr>
      <w:bookmarkStart w:id="2" w:name="_Toc5266603"/>
      <w:r w:rsidRPr="007F419E">
        <w:rPr>
          <w:i/>
          <w:shd w:val="pct15" w:color="auto" w:fill="FFFFFF"/>
        </w:rPr>
        <w:t>6.5A.2.3</w:t>
      </w:r>
      <w:r w:rsidRPr="007F419E">
        <w:rPr>
          <w:i/>
          <w:shd w:val="pct15" w:color="auto" w:fill="FFFFFF"/>
        </w:rPr>
        <w:tab/>
        <w:t>Adjacent channel leakage ratio for CA</w:t>
      </w:r>
      <w:bookmarkEnd w:id="2"/>
    </w:p>
    <w:p w:rsidR="007F419E" w:rsidRPr="007F419E" w:rsidRDefault="007F419E" w:rsidP="007F419E">
      <w:pPr>
        <w:rPr>
          <w:i/>
          <w:shd w:val="pct15" w:color="auto" w:fill="FFFFFF"/>
        </w:rPr>
      </w:pPr>
      <w:r w:rsidRPr="007F419E">
        <w:rPr>
          <w:i/>
          <w:shd w:val="pct15" w:color="auto" w:fill="FFFFFF"/>
        </w:rPr>
        <w:t>For intra-band contiguous carrier aggregation, the carrier aggregation NR adjacent channel leakage power ratio (CA NR</w:t>
      </w:r>
      <w:r w:rsidRPr="007F419E">
        <w:rPr>
          <w:i/>
          <w:shd w:val="pct15" w:color="auto" w:fill="FFFFFF"/>
          <w:vertAlign w:val="subscript"/>
        </w:rPr>
        <w:t>ACLR</w:t>
      </w:r>
      <w:r w:rsidRPr="007F419E">
        <w:rPr>
          <w:i/>
          <w:shd w:val="pct15" w:color="auto" w:fill="FFFFFF"/>
        </w:rPr>
        <w:t xml:space="preserve">) is the ratio of the filtered mean power centred on the aggregated channel bandwidth to the filtered mean power centred on an adjacent aggregated channel bandwidth </w:t>
      </w:r>
      <w:r w:rsidRPr="007F419E">
        <w:rPr>
          <w:i/>
          <w:highlight w:val="cyan"/>
          <w:shd w:val="pct15" w:color="auto" w:fill="FFFFFF"/>
        </w:rPr>
        <w:t>at nominal channel spacing</w:t>
      </w:r>
      <w:r w:rsidRPr="007F419E">
        <w:rPr>
          <w:i/>
          <w:shd w:val="pct15" w:color="auto" w:fill="FFFFFF"/>
        </w:rPr>
        <w:t>. The assigned aggregated channel bandwidth power and adjacent aggregated channel bandwidth power are measured with rectangular filters with measurement bandwidths specified in 6.5A.2.3-1. If the measured adjacent channel power is greater than -35 dBm then the NR</w:t>
      </w:r>
      <w:r w:rsidRPr="007F419E">
        <w:rPr>
          <w:i/>
          <w:shd w:val="pct15" w:color="auto" w:fill="FFFFFF"/>
          <w:vertAlign w:val="subscript"/>
        </w:rPr>
        <w:t>ACLR</w:t>
      </w:r>
      <w:r w:rsidRPr="007F419E">
        <w:rPr>
          <w:i/>
          <w:shd w:val="pct15" w:color="auto" w:fill="FFFFFF"/>
        </w:rPr>
        <w:t xml:space="preserve"> shall be higher than the value specified in Table 6.5A.2.3-1.</w:t>
      </w:r>
    </w:p>
    <w:p w:rsidR="007F419E" w:rsidRPr="007F419E" w:rsidRDefault="007F419E" w:rsidP="007F419E">
      <w:pPr>
        <w:pStyle w:val="TH"/>
        <w:rPr>
          <w:i/>
          <w:shd w:val="pct15" w:color="auto" w:fill="FFFFFF"/>
        </w:rPr>
      </w:pPr>
      <w:r w:rsidRPr="007F419E">
        <w:rPr>
          <w:i/>
          <w:shd w:val="pct15" w:color="auto" w:fill="FFFFFF"/>
        </w:rPr>
        <w:lastRenderedPageBreak/>
        <w:t>Table 6.5A.2.3-1: General requirements for CA NR</w:t>
      </w:r>
      <w:r w:rsidRPr="007F419E">
        <w:rPr>
          <w:i/>
          <w:shd w:val="pct15" w:color="auto" w:fill="FFFFFF"/>
          <w:vertAlign w:val="subscript"/>
        </w:rPr>
        <w:t>ACLR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032"/>
        <w:gridCol w:w="4032"/>
      </w:tblGrid>
      <w:tr w:rsidR="007F419E" w:rsidRPr="007F419E" w:rsidTr="000E5FC9">
        <w:trPr>
          <w:jc w:val="center"/>
        </w:trPr>
        <w:tc>
          <w:tcPr>
            <w:tcW w:w="201.60pt" w:type="dxa"/>
            <w:vMerge w:val="restart"/>
            <w:shd w:val="clear" w:color="auto" w:fill="auto"/>
          </w:tcPr>
          <w:p w:rsidR="007F419E" w:rsidRPr="007F419E" w:rsidRDefault="007F419E" w:rsidP="000E5FC9">
            <w:pPr>
              <w:pStyle w:val="TAH"/>
              <w:rPr>
                <w:b w:val="0"/>
                <w:i/>
                <w:shd w:val="pct15" w:color="auto" w:fill="FFFFFF"/>
              </w:rPr>
            </w:pPr>
          </w:p>
        </w:tc>
        <w:tc>
          <w:tcPr>
            <w:tcW w:w="201.60pt" w:type="dxa"/>
            <w:shd w:val="clear" w:color="auto" w:fill="auto"/>
          </w:tcPr>
          <w:p w:rsidR="007F419E" w:rsidRPr="007F419E" w:rsidRDefault="007F419E" w:rsidP="000E5FC9">
            <w:pPr>
              <w:pStyle w:val="TAH"/>
              <w:rPr>
                <w:i/>
                <w:shd w:val="pct15" w:color="auto" w:fill="FFFFFF"/>
              </w:rPr>
            </w:pPr>
            <w:r w:rsidRPr="007F419E">
              <w:rPr>
                <w:i/>
                <w:shd w:val="pct15" w:color="auto" w:fill="FFFFFF"/>
              </w:rPr>
              <w:t>CA bandwidth class / CA NR</w:t>
            </w:r>
            <w:r w:rsidRPr="007F419E">
              <w:rPr>
                <w:i/>
                <w:shd w:val="pct15" w:color="auto" w:fill="FFFFFF"/>
                <w:vertAlign w:val="subscript"/>
              </w:rPr>
              <w:t>ACLR</w:t>
            </w:r>
            <w:r w:rsidRPr="007F419E">
              <w:rPr>
                <w:i/>
                <w:shd w:val="pct15" w:color="auto" w:fill="FFFFFF"/>
              </w:rPr>
              <w:t xml:space="preserve"> / Measurement bandwidth</w:t>
            </w:r>
          </w:p>
        </w:tc>
      </w:tr>
      <w:tr w:rsidR="007F419E" w:rsidRPr="007F419E" w:rsidTr="000E5FC9">
        <w:trPr>
          <w:jc w:val="center"/>
        </w:trPr>
        <w:tc>
          <w:tcPr>
            <w:tcW w:w="201.60pt" w:type="dxa"/>
            <w:vMerge/>
            <w:shd w:val="clear" w:color="auto" w:fill="auto"/>
          </w:tcPr>
          <w:p w:rsidR="007F419E" w:rsidRPr="007F419E" w:rsidRDefault="007F419E" w:rsidP="000E5FC9">
            <w:pPr>
              <w:pStyle w:val="TAH"/>
              <w:rPr>
                <w:i/>
                <w:shd w:val="pct15" w:color="auto" w:fill="FFFFFF"/>
              </w:rPr>
            </w:pPr>
          </w:p>
        </w:tc>
        <w:tc>
          <w:tcPr>
            <w:tcW w:w="201.60pt" w:type="dxa"/>
            <w:shd w:val="clear" w:color="auto" w:fill="auto"/>
            <w:vAlign w:val="center"/>
          </w:tcPr>
          <w:p w:rsidR="007F419E" w:rsidRPr="007F419E" w:rsidRDefault="007F419E" w:rsidP="000E5FC9">
            <w:pPr>
              <w:pStyle w:val="TAH"/>
              <w:rPr>
                <w:i/>
                <w:shd w:val="pct15" w:color="auto" w:fill="FFFFFF"/>
              </w:rPr>
            </w:pPr>
            <w:r w:rsidRPr="007F419E">
              <w:rPr>
                <w:i/>
                <w:shd w:val="pct15" w:color="auto" w:fill="FFFFFF"/>
              </w:rPr>
              <w:t>Any CA bandwidth class</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CA NR</w:t>
            </w:r>
            <w:r w:rsidRPr="007F419E">
              <w:rPr>
                <w:i/>
                <w:shd w:val="pct15" w:color="auto" w:fill="FFFFFF"/>
                <w:vertAlign w:val="subscript"/>
              </w:rPr>
              <w:t xml:space="preserve">ACLR </w:t>
            </w:r>
            <w:r w:rsidRPr="007F419E">
              <w:rPr>
                <w:i/>
                <w:shd w:val="pct15" w:color="auto" w:fill="FFFFFF"/>
              </w:rPr>
              <w:t>for band n257, n258, n261</w:t>
            </w:r>
          </w:p>
        </w:tc>
        <w:tc>
          <w:tcPr>
            <w:tcW w:w="201.60pt" w:type="dxa"/>
            <w:shd w:val="clear" w:color="auto" w:fill="auto"/>
          </w:tcPr>
          <w:p w:rsidR="007F419E" w:rsidRPr="007F419E" w:rsidRDefault="007F419E" w:rsidP="000E5FC9">
            <w:pPr>
              <w:pStyle w:val="TAC"/>
              <w:rPr>
                <w:i/>
                <w:shd w:val="pct15" w:color="auto" w:fill="FFFFFF"/>
              </w:rPr>
            </w:pPr>
            <w:r w:rsidRPr="007F419E">
              <w:rPr>
                <w:i/>
                <w:shd w:val="pct15" w:color="auto" w:fill="FFFFFF"/>
              </w:rPr>
              <w:t>17 dB</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CA NR</w:t>
            </w:r>
            <w:r w:rsidRPr="007F419E">
              <w:rPr>
                <w:i/>
                <w:shd w:val="pct15" w:color="auto" w:fill="FFFFFF"/>
                <w:vertAlign w:val="subscript"/>
              </w:rPr>
              <w:t xml:space="preserve">ACLR </w:t>
            </w:r>
            <w:r w:rsidRPr="007F419E">
              <w:rPr>
                <w:i/>
                <w:shd w:val="pct15" w:color="auto" w:fill="FFFFFF"/>
              </w:rPr>
              <w:t>for band n260</w:t>
            </w:r>
          </w:p>
        </w:tc>
        <w:tc>
          <w:tcPr>
            <w:tcW w:w="201.60pt" w:type="dxa"/>
            <w:shd w:val="clear" w:color="auto" w:fill="auto"/>
          </w:tcPr>
          <w:p w:rsidR="007F419E" w:rsidRPr="007F419E" w:rsidRDefault="007F419E" w:rsidP="000E5FC9">
            <w:pPr>
              <w:pStyle w:val="TAC"/>
              <w:rPr>
                <w:i/>
                <w:shd w:val="pct15" w:color="auto" w:fill="FFFFFF"/>
              </w:rPr>
            </w:pPr>
            <w:r w:rsidRPr="007F419E">
              <w:rPr>
                <w:i/>
                <w:shd w:val="pct15" w:color="auto" w:fill="FFFFFF"/>
              </w:rPr>
              <w:t>16 dB</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NR channel measurement bandwidth</w:t>
            </w:r>
            <w:r w:rsidRPr="007F419E">
              <w:rPr>
                <w:i/>
                <w:shd w:val="pct15" w:color="auto" w:fill="FFFFFF"/>
                <w:vertAlign w:val="superscript"/>
              </w:rPr>
              <w:t>1</w:t>
            </w:r>
          </w:p>
        </w:tc>
        <w:tc>
          <w:tcPr>
            <w:tcW w:w="201.60pt" w:type="dxa"/>
            <w:shd w:val="clear" w:color="auto" w:fill="auto"/>
          </w:tcPr>
          <w:p w:rsidR="007F419E" w:rsidRPr="007F419E" w:rsidRDefault="007F419E" w:rsidP="000E5FC9">
            <w:pPr>
              <w:pStyle w:val="TAC"/>
              <w:rPr>
                <w:i/>
                <w:shd w:val="pct15" w:color="auto" w:fill="FFFFFF"/>
              </w:rPr>
            </w:pPr>
            <w:proofErr w:type="spellStart"/>
            <w:r w:rsidRPr="007F419E">
              <w:rPr>
                <w:i/>
                <w:shd w:val="pct15" w:color="auto" w:fill="FFFFFF"/>
              </w:rPr>
              <w:t>BW</w:t>
            </w:r>
            <w:r w:rsidRPr="007F419E">
              <w:rPr>
                <w:i/>
                <w:shd w:val="pct15" w:color="auto" w:fill="FFFFFF"/>
                <w:vertAlign w:val="subscript"/>
              </w:rPr>
              <w:t>Channel_</w:t>
            </w:r>
            <w:proofErr w:type="gramStart"/>
            <w:r w:rsidRPr="007F419E">
              <w:rPr>
                <w:i/>
                <w:shd w:val="pct15" w:color="auto" w:fill="FFFFFF"/>
                <w:vertAlign w:val="subscript"/>
              </w:rPr>
              <w:t>CA</w:t>
            </w:r>
            <w:proofErr w:type="spellEnd"/>
            <w:r w:rsidRPr="007F419E">
              <w:rPr>
                <w:i/>
                <w:shd w:val="pct15" w:color="auto" w:fill="FFFFFF"/>
              </w:rPr>
              <w:t xml:space="preserve">  –</w:t>
            </w:r>
            <w:proofErr w:type="gramEnd"/>
            <w:r w:rsidRPr="007F419E">
              <w:rPr>
                <w:i/>
                <w:shd w:val="pct15" w:color="auto" w:fill="FFFFFF"/>
              </w:rPr>
              <w:t xml:space="preserve">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(1)</w:t>
            </w:r>
            <w:r w:rsidRPr="007F419E">
              <w:rPr>
                <w:i/>
                <w:shd w:val="pct15" w:color="auto" w:fill="FFFFFF"/>
              </w:rPr>
              <w:t xml:space="preserve"> -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(2)</w:t>
            </w:r>
          </w:p>
        </w:tc>
      </w:tr>
      <w:tr w:rsidR="007F419E" w:rsidRPr="007F419E" w:rsidTr="000E5FC9">
        <w:trPr>
          <w:jc w:val="center"/>
        </w:trPr>
        <w:tc>
          <w:tcPr>
            <w:tcW w:w="403.20pt" w:type="dxa"/>
            <w:gridSpan w:val="2"/>
            <w:shd w:val="clear" w:color="auto" w:fill="auto"/>
            <w:vAlign w:val="center"/>
          </w:tcPr>
          <w:p w:rsidR="007F419E" w:rsidRPr="007F419E" w:rsidRDefault="007F419E" w:rsidP="000E5FC9">
            <w:pPr>
              <w:pStyle w:val="TAN"/>
              <w:rPr>
                <w:i/>
                <w:shd w:val="pct15" w:color="auto" w:fill="FFFFFF"/>
              </w:rPr>
            </w:pPr>
            <w:r w:rsidRPr="007F419E">
              <w:rPr>
                <w:i/>
                <w:shd w:val="pct15" w:color="auto" w:fill="FFFFFF"/>
              </w:rPr>
              <w:t>NOTE 1:</w:t>
            </w:r>
            <w:r w:rsidRPr="007F419E">
              <w:rPr>
                <w:i/>
                <w:shd w:val="pct15" w:color="auto" w:fill="FFFFFF"/>
              </w:rPr>
              <w:tab/>
              <w:t xml:space="preserve">The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w:t>
            </w:r>
            <w:proofErr w:type="spellStart"/>
            <w:r w:rsidRPr="007F419E">
              <w:rPr>
                <w:i/>
                <w:shd w:val="pct15" w:color="auto" w:fill="FFFFFF"/>
                <w:vertAlign w:val="subscript"/>
              </w:rPr>
              <w:t>i</w:t>
            </w:r>
            <w:proofErr w:type="spellEnd"/>
            <w:r w:rsidRPr="007F419E">
              <w:rPr>
                <w:i/>
                <w:shd w:val="pct15" w:color="auto" w:fill="FFFFFF"/>
                <w:vertAlign w:val="subscript"/>
              </w:rPr>
              <w:t>)</w:t>
            </w:r>
            <w:r w:rsidRPr="007F419E">
              <w:rPr>
                <w:i/>
                <w:shd w:val="pct15" w:color="auto" w:fill="FFFFFF"/>
              </w:rPr>
              <w:t xml:space="preserve"> is the minimum guard band of the component carriers at the lower edge </w:t>
            </w:r>
            <w:proofErr w:type="spellStart"/>
            <w:r w:rsidRPr="007F419E">
              <w:rPr>
                <w:i/>
                <w:shd w:val="pct15" w:color="auto" w:fill="FFFFFF"/>
              </w:rPr>
              <w:t>F</w:t>
            </w:r>
            <w:r w:rsidRPr="007F419E">
              <w:rPr>
                <w:i/>
                <w:shd w:val="pct15" w:color="auto" w:fill="FFFFFF"/>
                <w:vertAlign w:val="subscript"/>
              </w:rPr>
              <w:t>edge</w:t>
            </w:r>
            <w:proofErr w:type="spellEnd"/>
            <w:r w:rsidRPr="007F419E">
              <w:rPr>
                <w:i/>
                <w:shd w:val="pct15" w:color="auto" w:fill="FFFFFF"/>
                <w:vertAlign w:val="subscript"/>
              </w:rPr>
              <w:t>, low</w:t>
            </w:r>
            <w:r w:rsidRPr="007F419E">
              <w:rPr>
                <w:i/>
                <w:shd w:val="pct15" w:color="auto" w:fill="FFFFFF"/>
              </w:rPr>
              <w:t xml:space="preserve"> and the upper edge </w:t>
            </w:r>
            <w:proofErr w:type="spellStart"/>
            <w:proofErr w:type="gramStart"/>
            <w:r w:rsidRPr="007F419E">
              <w:rPr>
                <w:i/>
                <w:shd w:val="pct15" w:color="auto" w:fill="FFFFFF"/>
              </w:rPr>
              <w:t>F</w:t>
            </w:r>
            <w:r w:rsidRPr="007F419E">
              <w:rPr>
                <w:i/>
                <w:shd w:val="pct15" w:color="auto" w:fill="FFFFFF"/>
                <w:vertAlign w:val="subscript"/>
              </w:rPr>
              <w:t>edge,high</w:t>
            </w:r>
            <w:proofErr w:type="spellEnd"/>
            <w:proofErr w:type="gramEnd"/>
            <w:r w:rsidRPr="007F419E">
              <w:rPr>
                <w:i/>
                <w:shd w:val="pct15" w:color="auto" w:fill="FFFFFF"/>
                <w:vertAlign w:val="subscript"/>
              </w:rPr>
              <w:t xml:space="preserve"> </w:t>
            </w:r>
            <w:r w:rsidRPr="007F419E">
              <w:rPr>
                <w:i/>
                <w:shd w:val="pct15" w:color="auto" w:fill="FFFFFF"/>
              </w:rPr>
              <w:t>of the sub-block respectively.</w:t>
            </w:r>
          </w:p>
        </w:tc>
      </w:tr>
    </w:tbl>
    <w:p w:rsidR="007F419E" w:rsidRDefault="007F419E" w:rsidP="00AA46C3">
      <w:pPr>
        <w:ind w:start="56.90pt" w:hangingChars="567" w:hanging="56.90pt"/>
        <w:rPr>
          <w:b/>
          <w:lang w:eastAsia="ja-JP"/>
        </w:rPr>
      </w:pPr>
    </w:p>
    <w:p w:rsidR="007A5A10" w:rsidRDefault="007A5A10" w:rsidP="007A5A10">
      <w:pPr>
        <w:jc w:val="both"/>
        <w:rPr>
          <w:lang w:eastAsia="ja-JP"/>
        </w:rPr>
      </w:pPr>
      <w:r>
        <w:rPr>
          <w:lang w:eastAsia="ja-JP"/>
        </w:rPr>
        <w:t>Considering observation 3</w:t>
      </w:r>
      <w:r w:rsidR="00E95EAA" w:rsidRPr="00E95EAA">
        <w:t xml:space="preserve"> </w:t>
      </w:r>
      <w:r w:rsidR="00E95EAA">
        <w:t xml:space="preserve">and </w:t>
      </w:r>
      <w:r w:rsidR="00E95EAA" w:rsidRPr="00E95EAA">
        <w:rPr>
          <w:lang w:eastAsia="ja-JP"/>
        </w:rPr>
        <w:t>Table 3.3-3</w:t>
      </w:r>
      <w:r>
        <w:rPr>
          <w:lang w:eastAsia="ja-JP"/>
        </w:rPr>
        <w:t xml:space="preserve">, 99.36 MHz is suitable for </w:t>
      </w:r>
      <w:r w:rsidR="000A6210">
        <w:rPr>
          <w:lang w:eastAsia="ja-JP"/>
        </w:rPr>
        <w:t xml:space="preserve">test channel spacing for </w:t>
      </w:r>
      <w:r>
        <w:rPr>
          <w:lang w:eastAsia="ja-JP"/>
        </w:rPr>
        <w:t>both SCS 60 kHz and 120 kHz</w:t>
      </w:r>
      <w:r w:rsidR="000A6210">
        <w:rPr>
          <w:lang w:eastAsia="ja-JP"/>
        </w:rPr>
        <w:t xml:space="preserve"> as default.</w:t>
      </w:r>
    </w:p>
    <w:p w:rsidR="00C26AFD" w:rsidRDefault="00C26AFD" w:rsidP="00C26AFD">
      <w:pPr>
        <w:ind w:start="56.90pt" w:hangingChars="567" w:hanging="56.90pt"/>
        <w:rPr>
          <w:b/>
          <w:lang w:eastAsia="ja-JP"/>
        </w:rPr>
      </w:pPr>
      <w:r w:rsidRPr="00C64A96">
        <w:rPr>
          <w:b/>
          <w:lang w:eastAsia="ja-JP"/>
        </w:rPr>
        <w:t xml:space="preserve">Proposal </w:t>
      </w:r>
      <w:r>
        <w:rPr>
          <w:b/>
          <w:lang w:eastAsia="ja-JP"/>
        </w:rPr>
        <w:t>1</w:t>
      </w:r>
      <w:r w:rsidRPr="00C64A96">
        <w:rPr>
          <w:b/>
          <w:lang w:eastAsia="ja-JP"/>
        </w:rPr>
        <w:tab/>
        <w:t xml:space="preserve">: </w:t>
      </w:r>
      <w:r>
        <w:rPr>
          <w:b/>
          <w:lang w:eastAsia="ja-JP"/>
        </w:rPr>
        <w:t xml:space="preserve">Regarding intra-band contiguous CA with Band n257 </w:t>
      </w:r>
      <w:r>
        <w:rPr>
          <w:b/>
          <w:highlight w:val="green"/>
          <w:lang w:eastAsia="ja-JP"/>
        </w:rPr>
        <w:t>(</w:t>
      </w:r>
      <w:r w:rsidRPr="003E599F">
        <w:rPr>
          <w:b/>
          <w:highlight w:val="green"/>
          <w:lang w:eastAsia="ja-JP"/>
        </w:rPr>
        <w:t>100MHz BW per CC</w:t>
      </w:r>
      <w:r>
        <w:rPr>
          <w:b/>
          <w:lang w:eastAsia="ja-JP"/>
        </w:rPr>
        <w:t xml:space="preserve">), to set test channel spacing as below. </w:t>
      </w:r>
      <w:r w:rsidRPr="003E599F">
        <w:rPr>
          <w:b/>
          <w:highlight w:val="green"/>
          <w:lang w:eastAsia="ja-JP"/>
        </w:rPr>
        <w:t>This parameter to be captured into TS 38.508-1.</w:t>
      </w:r>
    </w:p>
    <w:p w:rsidR="007A5A10" w:rsidRDefault="007A5A10" w:rsidP="007A5A10">
      <w:pPr>
        <w:ind w:start="42.55pt" w:hanging="14.15pt"/>
        <w:rPr>
          <w:b/>
          <w:lang w:eastAsia="ja-JP"/>
        </w:rPr>
      </w:pPr>
      <w:r>
        <w:rPr>
          <w:b/>
          <w:lang w:eastAsia="ja-JP"/>
        </w:rPr>
        <w:t>Test channel spacing = 99.36 MHz (as default)</w:t>
      </w:r>
    </w:p>
    <w:p w:rsidR="007A5A10" w:rsidRDefault="007A5A10" w:rsidP="007A5A10">
      <w:pPr>
        <w:ind w:start="20.95pt" w:firstLine="7.45pt"/>
        <w:rPr>
          <w:b/>
          <w:lang w:eastAsia="ja-JP"/>
        </w:rPr>
      </w:pPr>
      <w:r w:rsidRPr="00171941">
        <w:rPr>
          <w:b/>
          <w:highlight w:val="green"/>
          <w:lang w:eastAsia="ja-JP"/>
        </w:rPr>
        <w:t>Test channel spacing = Nominal channel spacing (for ACLR, ACS, IBB)</w:t>
      </w:r>
    </w:p>
    <w:p w:rsidR="007A5A10" w:rsidRDefault="007A5A10" w:rsidP="00AA46C3">
      <w:pPr>
        <w:ind w:start="56.90pt" w:hangingChars="567" w:hanging="56.90pt"/>
        <w:rPr>
          <w:b/>
          <w:lang w:eastAsia="ja-JP"/>
        </w:rPr>
      </w:pPr>
    </w:p>
    <w:p w:rsidR="007F622E" w:rsidRPr="004C48C0" w:rsidRDefault="00DF4765" w:rsidP="004C48C0">
      <w:pPr>
        <w:pStyle w:val="1"/>
        <w:rPr>
          <w:lang w:eastAsia="ja-JP"/>
        </w:rPr>
      </w:pPr>
      <w:r>
        <w:rPr>
          <w:lang w:eastAsia="ja-JP"/>
        </w:rPr>
        <w:t>Proposal</w:t>
      </w:r>
    </w:p>
    <w:p w:rsidR="00C26AFD" w:rsidRDefault="00C26AFD" w:rsidP="00C26AFD">
      <w:pPr>
        <w:ind w:start="56.90pt" w:hangingChars="567" w:hanging="56.90pt"/>
        <w:rPr>
          <w:b/>
          <w:lang w:eastAsia="ja-JP"/>
        </w:rPr>
      </w:pPr>
      <w:r w:rsidRPr="00C64A96">
        <w:rPr>
          <w:b/>
          <w:lang w:eastAsia="ja-JP"/>
        </w:rPr>
        <w:t xml:space="preserve">Proposal </w:t>
      </w:r>
      <w:r>
        <w:rPr>
          <w:b/>
          <w:lang w:eastAsia="ja-JP"/>
        </w:rPr>
        <w:t>1</w:t>
      </w:r>
      <w:r w:rsidRPr="00C64A96">
        <w:rPr>
          <w:b/>
          <w:lang w:eastAsia="ja-JP"/>
        </w:rPr>
        <w:tab/>
        <w:t xml:space="preserve">: </w:t>
      </w:r>
      <w:r>
        <w:rPr>
          <w:b/>
          <w:lang w:eastAsia="ja-JP"/>
        </w:rPr>
        <w:t xml:space="preserve">Regarding intra-band contiguous CA with Band n257 </w:t>
      </w:r>
      <w:r>
        <w:rPr>
          <w:b/>
          <w:highlight w:val="green"/>
          <w:lang w:eastAsia="ja-JP"/>
        </w:rPr>
        <w:t>(</w:t>
      </w:r>
      <w:r w:rsidRPr="003E599F">
        <w:rPr>
          <w:b/>
          <w:highlight w:val="green"/>
          <w:lang w:eastAsia="ja-JP"/>
        </w:rPr>
        <w:t>100MHz BW per CC</w:t>
      </w:r>
      <w:r>
        <w:rPr>
          <w:b/>
          <w:lang w:eastAsia="ja-JP"/>
        </w:rPr>
        <w:t xml:space="preserve">), to set test channel spacing as below. </w:t>
      </w:r>
      <w:r w:rsidRPr="003E599F">
        <w:rPr>
          <w:b/>
          <w:highlight w:val="green"/>
          <w:lang w:eastAsia="ja-JP"/>
        </w:rPr>
        <w:t>This parameter to be captured into TS 38.508-1.</w:t>
      </w:r>
    </w:p>
    <w:p w:rsidR="007A5A10" w:rsidRDefault="007A5A10" w:rsidP="007A5A10">
      <w:pPr>
        <w:ind w:start="42.55pt" w:hanging="14.15pt"/>
        <w:rPr>
          <w:b/>
          <w:lang w:eastAsia="ja-JP"/>
        </w:rPr>
      </w:pPr>
      <w:r>
        <w:rPr>
          <w:b/>
          <w:lang w:eastAsia="ja-JP"/>
        </w:rPr>
        <w:t>Test channel spacing = 99.36 MHz (as default)</w:t>
      </w:r>
    </w:p>
    <w:p w:rsidR="007A5A10" w:rsidRDefault="007A5A10" w:rsidP="007A5A10">
      <w:pPr>
        <w:ind w:start="20.95pt" w:firstLine="7.45pt"/>
        <w:rPr>
          <w:b/>
          <w:lang w:eastAsia="ja-JP"/>
        </w:rPr>
      </w:pPr>
      <w:r w:rsidRPr="00171941">
        <w:rPr>
          <w:b/>
          <w:highlight w:val="green"/>
          <w:lang w:eastAsia="ja-JP"/>
        </w:rPr>
        <w:t>Test channel spacing = Nominal channel spacing (for ACLR, ACS, IBB)</w:t>
      </w:r>
    </w:p>
    <w:p w:rsidR="006821EC" w:rsidRPr="00936722" w:rsidRDefault="00F76CB0" w:rsidP="00936722">
      <w:pPr>
        <w:pStyle w:val="1"/>
        <w:numPr>
          <w:ilvl w:val="0"/>
          <w:numId w:val="0"/>
        </w:numPr>
        <w:rPr>
          <w:lang w:eastAsia="ja-JP"/>
        </w:rPr>
      </w:pPr>
      <w:r>
        <w:rPr>
          <w:lang w:eastAsia="ja-JP"/>
        </w:rPr>
        <w:t>Reference</w:t>
      </w:r>
    </w:p>
    <w:p w:rsidR="00D062E3" w:rsidRDefault="00A4296C" w:rsidP="00DC7432">
      <w:pPr>
        <w:ind w:start="70.90pt" w:hangingChars="709" w:hanging="70.90pt"/>
      </w:pPr>
      <w:r>
        <w:rPr>
          <w:rFonts w:hint="eastAsia"/>
          <w:lang w:eastAsia="ja-JP"/>
        </w:rPr>
        <w:t>[</w:t>
      </w:r>
      <w:r w:rsidR="00D77FB5">
        <w:rPr>
          <w:lang w:eastAsia="ja-JP"/>
        </w:rPr>
        <w:t>2</w:t>
      </w:r>
      <w:r w:rsidRPr="00E301E9">
        <w:rPr>
          <w:rFonts w:hint="eastAsia"/>
          <w:lang w:eastAsia="ja-JP"/>
        </w:rPr>
        <w:t>]</w:t>
      </w:r>
      <w:r>
        <w:rPr>
          <w:lang w:eastAsia="ja-JP"/>
        </w:rPr>
        <w:t xml:space="preserve"> TS</w:t>
      </w:r>
      <w:r w:rsidR="00D77FB5">
        <w:rPr>
          <w:lang w:eastAsia="ja-JP"/>
        </w:rPr>
        <w:t xml:space="preserve"> 38.508-1</w:t>
      </w:r>
      <w:r w:rsidRPr="00E301E9">
        <w:tab/>
      </w:r>
      <w:r w:rsidRPr="00E301E9">
        <w:tab/>
        <w:t>: “</w:t>
      </w:r>
      <w:r w:rsidR="00DC7432">
        <w:t>3rd Generation Partnership Project; Technical Specification Group Radio Access Network;</w:t>
      </w:r>
      <w:r w:rsidR="00DC7432">
        <w:rPr>
          <w:rFonts w:hint="eastAsia"/>
          <w:lang w:eastAsia="ja-JP"/>
        </w:rPr>
        <w:t xml:space="preserve"> </w:t>
      </w:r>
      <w:r w:rsidR="00DC7432">
        <w:t>5GS; User Equipment (UE) conformance specification;</w:t>
      </w:r>
      <w:r w:rsidR="00DC7432">
        <w:rPr>
          <w:rFonts w:hint="eastAsia"/>
          <w:lang w:eastAsia="ja-JP"/>
        </w:rPr>
        <w:t xml:space="preserve"> </w:t>
      </w:r>
      <w:r w:rsidR="00DC7432">
        <w:t>Part 1: Common test environment (Release 15) (v15.3.0)</w:t>
      </w:r>
      <w:r>
        <w:t>”</w:t>
      </w:r>
    </w:p>
    <w:p w:rsidR="00D77FB5" w:rsidRDefault="00D77FB5" w:rsidP="00DC7432">
      <w:pPr>
        <w:ind w:start="70.90pt" w:hangingChars="709" w:hanging="70.90pt"/>
        <w:rPr>
          <w:lang w:eastAsia="ja-JP"/>
        </w:rPr>
      </w:pPr>
      <w:r>
        <w:rPr>
          <w:rFonts w:hint="eastAsia"/>
          <w:lang w:eastAsia="ja-JP"/>
        </w:rPr>
        <w:t>[</w:t>
      </w:r>
      <w:r>
        <w:rPr>
          <w:lang w:eastAsia="ja-JP"/>
        </w:rPr>
        <w:t>2</w:t>
      </w:r>
      <w:r w:rsidRPr="00E301E9">
        <w:rPr>
          <w:rFonts w:hint="eastAsia"/>
          <w:lang w:eastAsia="ja-JP"/>
        </w:rPr>
        <w:t>]</w:t>
      </w:r>
      <w:r>
        <w:rPr>
          <w:lang w:eastAsia="ja-JP"/>
        </w:rPr>
        <w:t xml:space="preserve"> TS 38.101-2</w:t>
      </w:r>
      <w:r w:rsidRPr="00E301E9">
        <w:tab/>
      </w:r>
      <w:r w:rsidRPr="00E301E9">
        <w:tab/>
        <w:t>: “</w:t>
      </w:r>
      <w:r w:rsidR="00DC7432">
        <w:t>3rd Generation Partnership Project; Technical Specification Group Radio Access Network; NR; User Equipment (UE) radio transmission and reception; Part 2: Range 2 Standalone (Release 15) (v15.5.0)</w:t>
      </w:r>
      <w:r>
        <w:t>”</w:t>
      </w:r>
    </w:p>
    <w:p w:rsidR="00177EEE" w:rsidRDefault="00574EF1" w:rsidP="0019589D">
      <w:pPr>
        <w:ind w:start="70.90pt" w:hangingChars="709" w:hanging="70.90pt"/>
        <w:rPr>
          <w:lang w:eastAsia="ja-JP"/>
        </w:rPr>
      </w:pPr>
      <w:r>
        <w:rPr>
          <w:rFonts w:hint="eastAsia"/>
          <w:lang w:eastAsia="ja-JP"/>
        </w:rPr>
        <w:t>[</w:t>
      </w:r>
      <w:r>
        <w:rPr>
          <w:lang w:eastAsia="ja-JP"/>
        </w:rPr>
        <w:t>3</w:t>
      </w:r>
      <w:r w:rsidRPr="00E301E9">
        <w:rPr>
          <w:rFonts w:hint="eastAsia"/>
          <w:lang w:eastAsia="ja-JP"/>
        </w:rPr>
        <w:t>]</w:t>
      </w:r>
      <w:r>
        <w:rPr>
          <w:lang w:eastAsia="ja-JP"/>
        </w:rPr>
        <w:t xml:space="preserve"> R4-1905240</w:t>
      </w:r>
      <w:r w:rsidRPr="00E301E9">
        <w:tab/>
      </w:r>
      <w:r w:rsidRPr="00E301E9">
        <w:tab/>
        <w:t>: “</w:t>
      </w:r>
      <w:r w:rsidR="00DC7432" w:rsidRPr="00DC7432">
        <w:t>WF on nominal channel spacing</w:t>
      </w:r>
      <w:r>
        <w:t>”</w:t>
      </w:r>
      <w:r w:rsidR="00DC7432">
        <w:rPr>
          <w:rFonts w:hint="eastAsia"/>
          <w:lang w:eastAsia="ja-JP"/>
        </w:rPr>
        <w:t>,</w:t>
      </w:r>
      <w:r w:rsidR="00DC7432">
        <w:rPr>
          <w:lang w:eastAsia="ja-JP"/>
        </w:rPr>
        <w:t xml:space="preserve"> ZTE, RAN4#90bis</w:t>
      </w:r>
    </w:p>
    <w:sectPr w:rsidR="00177EEE">
      <w:footerReference w:type="even" r:id="rId17"/>
      <w:footerReference w:type="default" r:id="rId18"/>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42797E" w:rsidRDefault="0042797E">
      <w:r>
        <w:separator/>
      </w:r>
    </w:p>
  </w:endnote>
  <w:endnote w:type="continuationSeparator" w:id="0">
    <w:p w:rsidR="0042797E" w:rsidRDefault="0042797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0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ＭＳ 明朝">
    <w:altName w:val="MS Mincho"/>
    <w:panose1 w:val="02020609040205080304"/>
    <w:charset w:characterSet="shift_jis"/>
    <w:family w:val="roman"/>
    <w:pitch w:val="fixed"/>
    <w:sig w:usb0="E00002FF" w:usb1="6AC7FDFB" w:usb2="08000012" w:usb3="00000000" w:csb0="0002009F"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Osaka">
    <w:altName w:val="游ゴシック"/>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游明朝">
    <w:panose1 w:val="02020400000000000000"/>
    <w:charset w:characterSet="shift_jis"/>
    <w:family w:val="roman"/>
    <w:pitch w:val="variable"/>
    <w:sig w:usb0="800002E7" w:usb1="2AC7FCFF" w:usb2="00000012"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ＭＳ ゴシック">
    <w:altName w:val="MS Gothic"/>
    <w:panose1 w:val="020B0609070205080204"/>
    <w:charset w:characterSet="shift_jis"/>
    <w:family w:val="modern"/>
    <w:pitch w:val="fixed"/>
    <w:sig w:usb0="E00002FF" w:usb1="6AC7FDFB" w:usb2="08000012" w:usb3="00000000" w:csb0="0002009F" w:csb1="00000000"/>
  </w:font>
  <w:font w:name="Century">
    <w:panose1 w:val="02040604050505020304"/>
    <w:charset w:characterSet="iso-8859-1"/>
    <w:family w:val="roman"/>
    <w:pitch w:val="variable"/>
    <w:sig w:usb0="00000287" w:usb1="00000000" w:usb2="00000000" w:usb3="00000000" w:csb0="000000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842019" w:rsidRDefault="00842019" w:rsidP="00553CFA">
    <w:pPr>
      <w:pStyle w:val="aa"/>
      <w:framePr w:wrap="around" w:vAnchor="text" w:hAnchor="margin" w:xAlign="center" w:y="0.05pt"/>
      <w:rPr>
        <w:rStyle w:val="af5"/>
      </w:rPr>
    </w:pPr>
    <w:r>
      <w:rPr>
        <w:rStyle w:val="af5"/>
      </w:rPr>
      <w:fldChar w:fldCharType="begin"/>
    </w:r>
    <w:r>
      <w:rPr>
        <w:rStyle w:val="af5"/>
      </w:rPr>
      <w:instrText xml:space="preserve">PAGE  </w:instrText>
    </w:r>
    <w:r>
      <w:rPr>
        <w:rStyle w:val="af5"/>
      </w:rPr>
      <w:fldChar w:fldCharType="end"/>
    </w:r>
  </w:p>
  <w:p w:rsidR="00842019" w:rsidRDefault="00842019">
    <w:pPr>
      <w:pStyle w:val="a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842019" w:rsidRDefault="00842019" w:rsidP="00553CFA">
    <w:pPr>
      <w:pStyle w:val="aa"/>
      <w:framePr w:wrap="around" w:vAnchor="text" w:hAnchor="margin" w:xAlign="center" w:y="0.05pt"/>
      <w:rPr>
        <w:rStyle w:val="af5"/>
      </w:rPr>
    </w:pPr>
    <w:r>
      <w:rPr>
        <w:rStyle w:val="af5"/>
      </w:rPr>
      <w:fldChar w:fldCharType="begin"/>
    </w:r>
    <w:r>
      <w:rPr>
        <w:rStyle w:val="af5"/>
      </w:rPr>
      <w:instrText xml:space="preserve">PAGE  </w:instrText>
    </w:r>
    <w:r>
      <w:rPr>
        <w:rStyle w:val="af5"/>
      </w:rPr>
      <w:fldChar w:fldCharType="separate"/>
    </w:r>
    <w:r w:rsidR="009C5489">
      <w:rPr>
        <w:rStyle w:val="af5"/>
      </w:rPr>
      <w:t>4</w:t>
    </w:r>
    <w:r>
      <w:rPr>
        <w:rStyle w:val="af5"/>
      </w:rPr>
      <w:fldChar w:fldCharType="end"/>
    </w:r>
  </w:p>
  <w:p w:rsidR="00842019" w:rsidRDefault="00842019">
    <w:pPr>
      <w:pStyle w:val="a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42797E" w:rsidRDefault="0042797E">
      <w:r>
        <w:separator/>
      </w:r>
    </w:p>
  </w:footnote>
  <w:footnote w:type="continuationSeparator" w:id="0">
    <w:p w:rsidR="0042797E" w:rsidRDefault="0042797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83"/>
    <w:multiLevelType w:val="singleLevel"/>
    <w:tmpl w:val="32D0A024"/>
    <w:lvl w:ilvl="0">
      <w:start w:val="1"/>
      <w:numFmt w:val="bullet"/>
      <w:pStyle w:val="CharCharCharCharChar"/>
      <w:lvlText w:val=""/>
      <w:lvlJc w:val="start"/>
      <w:pPr>
        <w:tabs>
          <w:tab w:val="num" w:pos="32.15pt"/>
        </w:tabs>
        <w:ind w:start="32.15pt" w:hanging="18pt"/>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4"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5" w15:restartNumberingAfterBreak="0">
    <w:nsid w:val="11132B10"/>
    <w:multiLevelType w:val="hybridMultilevel"/>
    <w:tmpl w:val="257C6AB8"/>
    <w:lvl w:ilvl="0" w:tplc="6AE8CC68">
      <w:start w:val="5"/>
      <w:numFmt w:val="bullet"/>
      <w:lvlText w:val="-"/>
      <w:lvlJc w:val="start"/>
      <w:pPr>
        <w:ind w:start="60.55pt" w:hanging="18pt"/>
      </w:pPr>
      <w:rPr>
        <w:rFonts w:ascii="Calibri" w:eastAsia="Calibri" w:hAnsi="Calibri" w:cs="Calibri" w:hint="default"/>
      </w:rPr>
    </w:lvl>
    <w:lvl w:ilvl="1" w:tplc="04090003" w:tentative="1">
      <w:start w:val="1"/>
      <w:numFmt w:val="bullet"/>
      <w:lvlText w:val="o"/>
      <w:lvlJc w:val="start"/>
      <w:pPr>
        <w:ind w:start="96.55pt" w:hanging="18pt"/>
      </w:pPr>
      <w:rPr>
        <w:rFonts w:ascii="Courier New" w:hAnsi="Courier New" w:cs="Courier New" w:hint="default"/>
      </w:rPr>
    </w:lvl>
    <w:lvl w:ilvl="2" w:tplc="04090005" w:tentative="1">
      <w:start w:val="1"/>
      <w:numFmt w:val="bullet"/>
      <w:lvlText w:val=""/>
      <w:lvlJc w:val="start"/>
      <w:pPr>
        <w:ind w:start="132.55pt" w:hanging="18pt"/>
      </w:pPr>
      <w:rPr>
        <w:rFonts w:ascii="Wingdings" w:hAnsi="Wingdings" w:hint="default"/>
      </w:rPr>
    </w:lvl>
    <w:lvl w:ilvl="3" w:tplc="04090001" w:tentative="1">
      <w:start w:val="1"/>
      <w:numFmt w:val="bullet"/>
      <w:lvlText w:val=""/>
      <w:lvlJc w:val="start"/>
      <w:pPr>
        <w:ind w:start="168.55pt" w:hanging="18pt"/>
      </w:pPr>
      <w:rPr>
        <w:rFonts w:ascii="Symbol" w:hAnsi="Symbol" w:hint="default"/>
      </w:rPr>
    </w:lvl>
    <w:lvl w:ilvl="4" w:tplc="04090003" w:tentative="1">
      <w:start w:val="1"/>
      <w:numFmt w:val="bullet"/>
      <w:lvlText w:val="o"/>
      <w:lvlJc w:val="start"/>
      <w:pPr>
        <w:ind w:start="204.55pt" w:hanging="18pt"/>
      </w:pPr>
      <w:rPr>
        <w:rFonts w:ascii="Courier New" w:hAnsi="Courier New" w:cs="Courier New" w:hint="default"/>
      </w:rPr>
    </w:lvl>
    <w:lvl w:ilvl="5" w:tplc="04090005" w:tentative="1">
      <w:start w:val="1"/>
      <w:numFmt w:val="bullet"/>
      <w:lvlText w:val=""/>
      <w:lvlJc w:val="start"/>
      <w:pPr>
        <w:ind w:start="240.55pt" w:hanging="18pt"/>
      </w:pPr>
      <w:rPr>
        <w:rFonts w:ascii="Wingdings" w:hAnsi="Wingdings" w:hint="default"/>
      </w:rPr>
    </w:lvl>
    <w:lvl w:ilvl="6" w:tplc="04090001" w:tentative="1">
      <w:start w:val="1"/>
      <w:numFmt w:val="bullet"/>
      <w:lvlText w:val=""/>
      <w:lvlJc w:val="start"/>
      <w:pPr>
        <w:ind w:start="276.55pt" w:hanging="18pt"/>
      </w:pPr>
      <w:rPr>
        <w:rFonts w:ascii="Symbol" w:hAnsi="Symbol" w:hint="default"/>
      </w:rPr>
    </w:lvl>
    <w:lvl w:ilvl="7" w:tplc="04090003" w:tentative="1">
      <w:start w:val="1"/>
      <w:numFmt w:val="bullet"/>
      <w:lvlText w:val="o"/>
      <w:lvlJc w:val="start"/>
      <w:pPr>
        <w:ind w:start="312.55pt" w:hanging="18pt"/>
      </w:pPr>
      <w:rPr>
        <w:rFonts w:ascii="Courier New" w:hAnsi="Courier New" w:cs="Courier New" w:hint="default"/>
      </w:rPr>
    </w:lvl>
    <w:lvl w:ilvl="8" w:tplc="04090005" w:tentative="1">
      <w:start w:val="1"/>
      <w:numFmt w:val="bullet"/>
      <w:lvlText w:val=""/>
      <w:lvlJc w:val="start"/>
      <w:pPr>
        <w:ind w:start="348.55pt" w:hanging="18pt"/>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47.60pt"/>
        </w:tabs>
        <w:ind w:start="-47.60pt" w:hanging="18pt"/>
      </w:pPr>
    </w:lvl>
    <w:lvl w:ilvl="2" w:tplc="0409001B" w:tentative="1">
      <w:start w:val="1"/>
      <w:numFmt w:val="lowerRoman"/>
      <w:lvlText w:val="%3."/>
      <w:lvlJc w:val="end"/>
      <w:pPr>
        <w:tabs>
          <w:tab w:val="num" w:pos="-11.60pt"/>
        </w:tabs>
        <w:ind w:start="-11.6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7"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8" w15:restartNumberingAfterBreak="0">
    <w:nsid w:val="440A0350"/>
    <w:multiLevelType w:val="hybridMultilevel"/>
    <w:tmpl w:val="676892AA"/>
    <w:lvl w:ilvl="0" w:tplc="0409000D">
      <w:start w:val="1"/>
      <w:numFmt w:val="bullet"/>
      <w:lvlText w:val=""/>
      <w:lvlJc w:val="start"/>
      <w:pPr>
        <w:ind w:start="21pt" w:hanging="21pt"/>
      </w:pPr>
      <w:rPr>
        <w:rFonts w:ascii="Wingdings" w:hAnsi="Wingdings" w:hint="default"/>
      </w:rPr>
    </w:lvl>
    <w:lvl w:ilvl="1" w:tplc="0409000B" w:tentative="1">
      <w:start w:val="1"/>
      <w:numFmt w:val="bullet"/>
      <w:lvlText w:val=""/>
      <w:lvlJc w:val="start"/>
      <w:pPr>
        <w:ind w:start="42pt" w:hanging="21pt"/>
      </w:pPr>
      <w:rPr>
        <w:rFonts w:ascii="Wingdings" w:hAnsi="Wingdings" w:hint="default"/>
      </w:rPr>
    </w:lvl>
    <w:lvl w:ilvl="2" w:tplc="0409000D"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B" w:tentative="1">
      <w:start w:val="1"/>
      <w:numFmt w:val="bullet"/>
      <w:lvlText w:val=""/>
      <w:lvlJc w:val="start"/>
      <w:pPr>
        <w:ind w:start="105pt" w:hanging="21pt"/>
      </w:pPr>
      <w:rPr>
        <w:rFonts w:ascii="Wingdings" w:hAnsi="Wingdings" w:hint="default"/>
      </w:rPr>
    </w:lvl>
    <w:lvl w:ilvl="5" w:tplc="0409000D"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B" w:tentative="1">
      <w:start w:val="1"/>
      <w:numFmt w:val="bullet"/>
      <w:lvlText w:val=""/>
      <w:lvlJc w:val="start"/>
      <w:pPr>
        <w:ind w:start="168pt" w:hanging="21pt"/>
      </w:pPr>
      <w:rPr>
        <w:rFonts w:ascii="Wingdings" w:hAnsi="Wingdings" w:hint="default"/>
      </w:rPr>
    </w:lvl>
    <w:lvl w:ilvl="8" w:tplc="0409000D" w:tentative="1">
      <w:start w:val="1"/>
      <w:numFmt w:val="bullet"/>
      <w:lvlText w:val=""/>
      <w:lvlJc w:val="start"/>
      <w:pPr>
        <w:ind w:start="189pt" w:hanging="21pt"/>
      </w:pPr>
      <w:rPr>
        <w:rFonts w:ascii="Wingdings" w:hAnsi="Wingdings" w:hint="default"/>
      </w:rPr>
    </w:lvl>
  </w:abstractNum>
  <w:abstractNum w:abstractNumId="9"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11"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91.25pt"/>
        </w:tabs>
        <w:ind w:start="-91.25pt" w:hanging="28.35pt"/>
      </w:pPr>
      <w:rPr>
        <w:rFonts w:hint="default"/>
      </w:rPr>
    </w:lvl>
    <w:lvl w:ilvl="2" w:tplc="0409001B">
      <w:start w:val="1"/>
      <w:numFmt w:val="lowerRoman"/>
      <w:lvlText w:val="%3."/>
      <w:lvlJc w:val="end"/>
      <w:pPr>
        <w:tabs>
          <w:tab w:val="num" w:pos="-65.60pt"/>
        </w:tabs>
        <w:ind w:start="-65.60pt" w:hanging="9pt"/>
      </w:pPr>
    </w:lvl>
    <w:lvl w:ilvl="3" w:tplc="0409000F">
      <w:start w:val="1"/>
      <w:numFmt w:val="decimal"/>
      <w:lvlText w:val="%4."/>
      <w:lvlJc w:val="start"/>
      <w:pPr>
        <w:tabs>
          <w:tab w:val="num" w:pos="-29.60pt"/>
        </w:tabs>
        <w:ind w:start="-29.6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2" w15:restartNumberingAfterBreak="0">
    <w:nsid w:val="5FA33A2F"/>
    <w:multiLevelType w:val="multilevel"/>
    <w:tmpl w:val="C51690CE"/>
    <w:lvl w:ilvl="0">
      <w:start w:val="1"/>
      <w:numFmt w:val="decimal"/>
      <w:pStyle w:val="1"/>
      <w:lvlText w:val="%1"/>
      <w:lvlJc w:val="start"/>
      <w:pPr>
        <w:ind w:start="21.60pt" w:hanging="21.60pt"/>
      </w:pPr>
      <w:rPr>
        <w:lang w:val="en-US"/>
      </w:rPr>
    </w:lvl>
    <w:lvl w:ilvl="1">
      <w:start w:val="1"/>
      <w:numFmt w:val="decimal"/>
      <w:pStyle w:val="2"/>
      <w:lvlText w:val="%1.%2"/>
      <w:lvlJc w:val="start"/>
      <w:pPr>
        <w:ind w:start="28.80pt" w:hanging="28.80pt"/>
      </w:pPr>
    </w:lvl>
    <w:lvl w:ilvl="2">
      <w:start w:val="1"/>
      <w:numFmt w:val="decimal"/>
      <w:pStyle w:val="3"/>
      <w:lvlText w:val="%1.%2.%3"/>
      <w:lvlJc w:val="start"/>
      <w:pPr>
        <w:ind w:start="36pt" w:hanging="36pt"/>
      </w:pPr>
    </w:lvl>
    <w:lvl w:ilvl="3">
      <w:start w:val="1"/>
      <w:numFmt w:val="decimal"/>
      <w:pStyle w:val="4"/>
      <w:lvlText w:val="%1.%2.%3.%4"/>
      <w:lvlJc w:val="start"/>
      <w:pPr>
        <w:ind w:start="43.20pt" w:hanging="43.20pt"/>
      </w:pPr>
    </w:lvl>
    <w:lvl w:ilvl="4">
      <w:start w:val="1"/>
      <w:numFmt w:val="decimal"/>
      <w:pStyle w:val="5"/>
      <w:lvlText w:val="%1.%2.%3.%4.%5"/>
      <w:lvlJc w:val="start"/>
      <w:pPr>
        <w:ind w:start="50.40pt" w:hanging="50.40pt"/>
      </w:pPr>
    </w:lvl>
    <w:lvl w:ilvl="5">
      <w:start w:val="1"/>
      <w:numFmt w:val="decimal"/>
      <w:pStyle w:val="6"/>
      <w:lvlText w:val="%1.%2.%3.%4.%5.%6"/>
      <w:lvlJc w:val="start"/>
      <w:pPr>
        <w:ind w:start="57.60pt" w:hanging="57.60pt"/>
      </w:pPr>
    </w:lvl>
    <w:lvl w:ilvl="6">
      <w:start w:val="1"/>
      <w:numFmt w:val="decimal"/>
      <w:pStyle w:val="7"/>
      <w:lvlText w:val="%1.%2.%3.%4.%5.%6.%7"/>
      <w:lvlJc w:val="start"/>
      <w:pPr>
        <w:ind w:start="64.80pt" w:hanging="64.80pt"/>
      </w:pPr>
    </w:lvl>
    <w:lvl w:ilvl="7">
      <w:start w:val="1"/>
      <w:numFmt w:val="decimal"/>
      <w:pStyle w:val="8"/>
      <w:lvlText w:val="%1.%2.%3.%4.%5.%6.%7.%8"/>
      <w:lvlJc w:val="start"/>
      <w:pPr>
        <w:ind w:start="72pt" w:hanging="72pt"/>
      </w:pPr>
    </w:lvl>
    <w:lvl w:ilvl="8">
      <w:start w:val="1"/>
      <w:numFmt w:val="decimal"/>
      <w:pStyle w:val="9"/>
      <w:lvlText w:val="%1.%2.%3.%4.%5.%6.%7.%8.%9"/>
      <w:lvlJc w:val="start"/>
      <w:pPr>
        <w:ind w:start="79.20pt" w:hanging="79.20pt"/>
      </w:pPr>
    </w:lvl>
  </w:abstractNum>
  <w:abstractNum w:abstractNumId="13" w15:restartNumberingAfterBreak="0">
    <w:nsid w:val="69EE0F1F"/>
    <w:multiLevelType w:val="hybridMultilevel"/>
    <w:tmpl w:val="A13045C2"/>
    <w:lvl w:ilvl="0" w:tplc="0409000D">
      <w:start w:val="1"/>
      <w:numFmt w:val="bullet"/>
      <w:lvlText w:val=""/>
      <w:lvlJc w:val="start"/>
      <w:pPr>
        <w:ind w:start="21pt" w:hanging="21pt"/>
      </w:pPr>
      <w:rPr>
        <w:rFonts w:ascii="Wingdings" w:hAnsi="Wingdings" w:hint="default"/>
      </w:rPr>
    </w:lvl>
    <w:lvl w:ilvl="1" w:tplc="0409000B" w:tentative="1">
      <w:start w:val="1"/>
      <w:numFmt w:val="bullet"/>
      <w:lvlText w:val=""/>
      <w:lvlJc w:val="start"/>
      <w:pPr>
        <w:ind w:start="42pt" w:hanging="21pt"/>
      </w:pPr>
      <w:rPr>
        <w:rFonts w:ascii="Wingdings" w:hAnsi="Wingdings" w:hint="default"/>
      </w:rPr>
    </w:lvl>
    <w:lvl w:ilvl="2" w:tplc="0409000D"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B" w:tentative="1">
      <w:start w:val="1"/>
      <w:numFmt w:val="bullet"/>
      <w:lvlText w:val=""/>
      <w:lvlJc w:val="start"/>
      <w:pPr>
        <w:ind w:start="105pt" w:hanging="21pt"/>
      </w:pPr>
      <w:rPr>
        <w:rFonts w:ascii="Wingdings" w:hAnsi="Wingdings" w:hint="default"/>
      </w:rPr>
    </w:lvl>
    <w:lvl w:ilvl="5" w:tplc="0409000D"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B" w:tentative="1">
      <w:start w:val="1"/>
      <w:numFmt w:val="bullet"/>
      <w:lvlText w:val=""/>
      <w:lvlJc w:val="start"/>
      <w:pPr>
        <w:ind w:start="168pt" w:hanging="21pt"/>
      </w:pPr>
      <w:rPr>
        <w:rFonts w:ascii="Wingdings" w:hAnsi="Wingdings" w:hint="default"/>
      </w:rPr>
    </w:lvl>
    <w:lvl w:ilvl="8" w:tplc="0409000D" w:tentative="1">
      <w:start w:val="1"/>
      <w:numFmt w:val="bullet"/>
      <w:lvlText w:val=""/>
      <w:lvlJc w:val="start"/>
      <w:pPr>
        <w:ind w:start="189pt" w:hanging="21pt"/>
      </w:pPr>
      <w:rPr>
        <w:rFonts w:ascii="Wingdings" w:hAnsi="Wingdings" w:hint="default"/>
      </w:rPr>
    </w:lvl>
  </w:abstractNum>
  <w:abstractNum w:abstractNumId="14" w15:restartNumberingAfterBreak="0">
    <w:nsid w:val="76112B6F"/>
    <w:multiLevelType w:val="hybridMultilevel"/>
    <w:tmpl w:val="E766C86C"/>
    <w:lvl w:ilvl="0" w:tplc="D6C8419C">
      <w:start w:val="1"/>
      <w:numFmt w:val="lowerLetter"/>
      <w:pStyle w:val="Listabcsingleline"/>
      <w:lvlText w:val="%1"/>
      <w:lvlJc w:val="start"/>
      <w:pPr>
        <w:tabs>
          <w:tab w:val="num" w:pos="146pt"/>
        </w:tabs>
        <w:ind w:start="146pt" w:hanging="18.40pt"/>
      </w:pPr>
      <w:rPr>
        <w:rFonts w:ascii="Arial" w:hAnsi="Arial" w:hint="default"/>
        <w:sz w:val="22"/>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5" w15:restartNumberingAfterBreak="0">
    <w:nsid w:val="769801EC"/>
    <w:multiLevelType w:val="hybridMultilevel"/>
    <w:tmpl w:val="BE5AFCDC"/>
    <w:lvl w:ilvl="0" w:tplc="83EC6854">
      <w:start w:val="1"/>
      <w:numFmt w:val="bullet"/>
      <w:pStyle w:val="40"/>
      <w:lvlText w:val=""/>
      <w:lvlJc w:val="start"/>
      <w:pPr>
        <w:tabs>
          <w:tab w:val="num" w:pos="36pt"/>
        </w:tabs>
        <w:ind w:start="36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11"/>
  </w:num>
  <w:num w:numId="2">
    <w:abstractNumId w:val="16"/>
  </w:num>
  <w:num w:numId="3">
    <w:abstractNumId w:val="6"/>
  </w:num>
  <w:num w:numId="4">
    <w:abstractNumId w:val="7"/>
  </w:num>
  <w:num w:numId="5">
    <w:abstractNumId w:val="2"/>
  </w:num>
  <w:num w:numId="6">
    <w:abstractNumId w:val="1"/>
  </w:num>
  <w:num w:numId="7">
    <w:abstractNumId w:val="12"/>
  </w:num>
  <w:num w:numId="8">
    <w:abstractNumId w:val="9"/>
  </w:num>
  <w:num w:numId="9">
    <w:abstractNumId w:val="10"/>
  </w:num>
  <w:num w:numId="10">
    <w:abstractNumId w:val="3"/>
  </w:num>
  <w:num w:numId="11">
    <w:abstractNumId w:val="14"/>
  </w:num>
  <w:num w:numId="12">
    <w:abstractNumId w:val="0"/>
  </w:num>
  <w:num w:numId="13">
    <w:abstractNumId w:val="15"/>
  </w:num>
  <w:num w:numId="14">
    <w:abstractNumId w:val="4"/>
  </w:num>
  <w:num w:numId="15">
    <w:abstractNumId w:val="8"/>
  </w:num>
  <w:num w:numId="16">
    <w:abstractNumId w:val="13"/>
  </w:num>
  <w:num w:numId="17">
    <w:abstractNumId w:val="5"/>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bordersDoNotSurroundHeader/>
  <w:bordersDoNotSurroundFooter/>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0A0"/>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0EEA"/>
    <w:rsid w:val="000618C0"/>
    <w:rsid w:val="00061C4F"/>
    <w:rsid w:val="00062026"/>
    <w:rsid w:val="00062BC5"/>
    <w:rsid w:val="00063B59"/>
    <w:rsid w:val="0006418F"/>
    <w:rsid w:val="000641D6"/>
    <w:rsid w:val="00064442"/>
    <w:rsid w:val="000648E1"/>
    <w:rsid w:val="00064A8A"/>
    <w:rsid w:val="00066D93"/>
    <w:rsid w:val="000676E1"/>
    <w:rsid w:val="00070911"/>
    <w:rsid w:val="00071066"/>
    <w:rsid w:val="00071E0C"/>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3B7E"/>
    <w:rsid w:val="00094187"/>
    <w:rsid w:val="00094C91"/>
    <w:rsid w:val="00096225"/>
    <w:rsid w:val="000A0C17"/>
    <w:rsid w:val="000A188B"/>
    <w:rsid w:val="000A30F9"/>
    <w:rsid w:val="000A4037"/>
    <w:rsid w:val="000A44CD"/>
    <w:rsid w:val="000A5301"/>
    <w:rsid w:val="000A5885"/>
    <w:rsid w:val="000A59BB"/>
    <w:rsid w:val="000A6210"/>
    <w:rsid w:val="000A6878"/>
    <w:rsid w:val="000A7522"/>
    <w:rsid w:val="000A7B48"/>
    <w:rsid w:val="000A7B6F"/>
    <w:rsid w:val="000A7EBB"/>
    <w:rsid w:val="000B00A0"/>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A73"/>
    <w:rsid w:val="000E6F50"/>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941"/>
    <w:rsid w:val="00171A5F"/>
    <w:rsid w:val="00171CA4"/>
    <w:rsid w:val="001721B0"/>
    <w:rsid w:val="00172527"/>
    <w:rsid w:val="00172981"/>
    <w:rsid w:val="00172A95"/>
    <w:rsid w:val="001748B5"/>
    <w:rsid w:val="00174D74"/>
    <w:rsid w:val="0017575D"/>
    <w:rsid w:val="001760D7"/>
    <w:rsid w:val="001776B3"/>
    <w:rsid w:val="00177E47"/>
    <w:rsid w:val="00177EEE"/>
    <w:rsid w:val="001808D9"/>
    <w:rsid w:val="00181669"/>
    <w:rsid w:val="001817B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479"/>
    <w:rsid w:val="001C13C4"/>
    <w:rsid w:val="001C1706"/>
    <w:rsid w:val="001C1DA8"/>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0C3"/>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6FDF"/>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6418"/>
    <w:rsid w:val="002C06C7"/>
    <w:rsid w:val="002C0C64"/>
    <w:rsid w:val="002C129C"/>
    <w:rsid w:val="002C1D1E"/>
    <w:rsid w:val="002C1DA6"/>
    <w:rsid w:val="002C22F9"/>
    <w:rsid w:val="002C3949"/>
    <w:rsid w:val="002C3D11"/>
    <w:rsid w:val="002C5A0A"/>
    <w:rsid w:val="002C6161"/>
    <w:rsid w:val="002C78CA"/>
    <w:rsid w:val="002D0490"/>
    <w:rsid w:val="002D0948"/>
    <w:rsid w:val="002D0E97"/>
    <w:rsid w:val="002D16F0"/>
    <w:rsid w:val="002D2B7D"/>
    <w:rsid w:val="002D42C1"/>
    <w:rsid w:val="002D42DA"/>
    <w:rsid w:val="002D4823"/>
    <w:rsid w:val="002D5CCC"/>
    <w:rsid w:val="002D6EE7"/>
    <w:rsid w:val="002E0D59"/>
    <w:rsid w:val="002E0F6F"/>
    <w:rsid w:val="002E18D1"/>
    <w:rsid w:val="002E1A02"/>
    <w:rsid w:val="002E1F5C"/>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3E2"/>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83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76BC3"/>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99F"/>
    <w:rsid w:val="003E5F08"/>
    <w:rsid w:val="003E60AE"/>
    <w:rsid w:val="003E670F"/>
    <w:rsid w:val="003E6AED"/>
    <w:rsid w:val="003E7273"/>
    <w:rsid w:val="003E7B41"/>
    <w:rsid w:val="003F0A59"/>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0FCC"/>
    <w:rsid w:val="00421714"/>
    <w:rsid w:val="0042338F"/>
    <w:rsid w:val="0042416A"/>
    <w:rsid w:val="00424931"/>
    <w:rsid w:val="00424FB5"/>
    <w:rsid w:val="0042513D"/>
    <w:rsid w:val="00425740"/>
    <w:rsid w:val="00425AC3"/>
    <w:rsid w:val="00426C90"/>
    <w:rsid w:val="0042797E"/>
    <w:rsid w:val="00427D13"/>
    <w:rsid w:val="00430636"/>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0D6"/>
    <w:rsid w:val="0048316D"/>
    <w:rsid w:val="004842E9"/>
    <w:rsid w:val="0048508B"/>
    <w:rsid w:val="00486F1C"/>
    <w:rsid w:val="00487591"/>
    <w:rsid w:val="00487948"/>
    <w:rsid w:val="00487BA4"/>
    <w:rsid w:val="0049164C"/>
    <w:rsid w:val="004930DF"/>
    <w:rsid w:val="004948CD"/>
    <w:rsid w:val="00494916"/>
    <w:rsid w:val="00495F11"/>
    <w:rsid w:val="00496D58"/>
    <w:rsid w:val="00497D0B"/>
    <w:rsid w:val="004A0280"/>
    <w:rsid w:val="004A19AF"/>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D64"/>
    <w:rsid w:val="004D4407"/>
    <w:rsid w:val="004D4543"/>
    <w:rsid w:val="004D5117"/>
    <w:rsid w:val="004D67C8"/>
    <w:rsid w:val="004D68C3"/>
    <w:rsid w:val="004D6FCD"/>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C01"/>
    <w:rsid w:val="0051284D"/>
    <w:rsid w:val="005138D0"/>
    <w:rsid w:val="0051424E"/>
    <w:rsid w:val="0051444C"/>
    <w:rsid w:val="00514C6A"/>
    <w:rsid w:val="005150E6"/>
    <w:rsid w:val="0051516B"/>
    <w:rsid w:val="005167C9"/>
    <w:rsid w:val="005213BC"/>
    <w:rsid w:val="00522807"/>
    <w:rsid w:val="00522955"/>
    <w:rsid w:val="00522DC6"/>
    <w:rsid w:val="005237D3"/>
    <w:rsid w:val="00525051"/>
    <w:rsid w:val="005252E9"/>
    <w:rsid w:val="00526ECD"/>
    <w:rsid w:val="00527EFF"/>
    <w:rsid w:val="0053136E"/>
    <w:rsid w:val="00531C10"/>
    <w:rsid w:val="005335D2"/>
    <w:rsid w:val="00535BEF"/>
    <w:rsid w:val="005363AD"/>
    <w:rsid w:val="005405D6"/>
    <w:rsid w:val="00540968"/>
    <w:rsid w:val="00540DF1"/>
    <w:rsid w:val="00542C9A"/>
    <w:rsid w:val="00542CB1"/>
    <w:rsid w:val="0054313E"/>
    <w:rsid w:val="0054321B"/>
    <w:rsid w:val="005446D8"/>
    <w:rsid w:val="005451E2"/>
    <w:rsid w:val="0054600D"/>
    <w:rsid w:val="00546188"/>
    <w:rsid w:val="00546795"/>
    <w:rsid w:val="005474DC"/>
    <w:rsid w:val="005520ED"/>
    <w:rsid w:val="00552FBF"/>
    <w:rsid w:val="005531AD"/>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19D"/>
    <w:rsid w:val="0056772A"/>
    <w:rsid w:val="00570D29"/>
    <w:rsid w:val="00572C79"/>
    <w:rsid w:val="005731A0"/>
    <w:rsid w:val="005737A1"/>
    <w:rsid w:val="005739DC"/>
    <w:rsid w:val="00574067"/>
    <w:rsid w:val="00574EF1"/>
    <w:rsid w:val="00575B75"/>
    <w:rsid w:val="00575C6D"/>
    <w:rsid w:val="00576532"/>
    <w:rsid w:val="00576617"/>
    <w:rsid w:val="0057697D"/>
    <w:rsid w:val="005769B4"/>
    <w:rsid w:val="005773FD"/>
    <w:rsid w:val="005779AC"/>
    <w:rsid w:val="00580112"/>
    <w:rsid w:val="00581816"/>
    <w:rsid w:val="00582211"/>
    <w:rsid w:val="005844B6"/>
    <w:rsid w:val="00584770"/>
    <w:rsid w:val="0058667D"/>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27D"/>
    <w:rsid w:val="005979B0"/>
    <w:rsid w:val="005A19CA"/>
    <w:rsid w:val="005A3227"/>
    <w:rsid w:val="005A34D5"/>
    <w:rsid w:val="005A389C"/>
    <w:rsid w:val="005A38F7"/>
    <w:rsid w:val="005A39FC"/>
    <w:rsid w:val="005A4847"/>
    <w:rsid w:val="005A5321"/>
    <w:rsid w:val="005B1461"/>
    <w:rsid w:val="005B1EA7"/>
    <w:rsid w:val="005B20A5"/>
    <w:rsid w:val="005B254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6719"/>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10F"/>
    <w:rsid w:val="005F67A0"/>
    <w:rsid w:val="005F7302"/>
    <w:rsid w:val="006014BE"/>
    <w:rsid w:val="006015CA"/>
    <w:rsid w:val="0060388C"/>
    <w:rsid w:val="00603B8E"/>
    <w:rsid w:val="00603D9B"/>
    <w:rsid w:val="00603FF3"/>
    <w:rsid w:val="00604928"/>
    <w:rsid w:val="0060538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62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1F2"/>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58C9"/>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4A9D"/>
    <w:rsid w:val="00734B95"/>
    <w:rsid w:val="00736301"/>
    <w:rsid w:val="00736DDE"/>
    <w:rsid w:val="00737552"/>
    <w:rsid w:val="0074016A"/>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8020C"/>
    <w:rsid w:val="00780610"/>
    <w:rsid w:val="00780AAD"/>
    <w:rsid w:val="00780B29"/>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5A1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62EE"/>
    <w:rsid w:val="007D73CF"/>
    <w:rsid w:val="007E31C1"/>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419E"/>
    <w:rsid w:val="007F5776"/>
    <w:rsid w:val="007F57D7"/>
    <w:rsid w:val="007F5FF4"/>
    <w:rsid w:val="007F622E"/>
    <w:rsid w:val="007F71F4"/>
    <w:rsid w:val="0080074F"/>
    <w:rsid w:val="00800F2A"/>
    <w:rsid w:val="00801587"/>
    <w:rsid w:val="00802345"/>
    <w:rsid w:val="00803F61"/>
    <w:rsid w:val="008042B5"/>
    <w:rsid w:val="0080575D"/>
    <w:rsid w:val="008068E8"/>
    <w:rsid w:val="00807901"/>
    <w:rsid w:val="0081079E"/>
    <w:rsid w:val="00812140"/>
    <w:rsid w:val="008121CF"/>
    <w:rsid w:val="00812736"/>
    <w:rsid w:val="00813840"/>
    <w:rsid w:val="00813A37"/>
    <w:rsid w:val="00813F13"/>
    <w:rsid w:val="00813F40"/>
    <w:rsid w:val="008145D1"/>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1588"/>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0CD8"/>
    <w:rsid w:val="008814D3"/>
    <w:rsid w:val="008816CA"/>
    <w:rsid w:val="00881BAD"/>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EF9"/>
    <w:rsid w:val="008E4379"/>
    <w:rsid w:val="008E4772"/>
    <w:rsid w:val="008E6CFC"/>
    <w:rsid w:val="008E6E2F"/>
    <w:rsid w:val="008E702B"/>
    <w:rsid w:val="008F1584"/>
    <w:rsid w:val="008F2C4A"/>
    <w:rsid w:val="008F3FA0"/>
    <w:rsid w:val="008F52DC"/>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451E"/>
    <w:rsid w:val="00905858"/>
    <w:rsid w:val="00906DAF"/>
    <w:rsid w:val="00910A71"/>
    <w:rsid w:val="0091135F"/>
    <w:rsid w:val="009118BC"/>
    <w:rsid w:val="00912186"/>
    <w:rsid w:val="0091321A"/>
    <w:rsid w:val="0091364E"/>
    <w:rsid w:val="009158E7"/>
    <w:rsid w:val="00920270"/>
    <w:rsid w:val="00920520"/>
    <w:rsid w:val="00920642"/>
    <w:rsid w:val="00920ECD"/>
    <w:rsid w:val="00923143"/>
    <w:rsid w:val="00923154"/>
    <w:rsid w:val="009238DF"/>
    <w:rsid w:val="00923AEA"/>
    <w:rsid w:val="00923DD0"/>
    <w:rsid w:val="009258AB"/>
    <w:rsid w:val="00926ED5"/>
    <w:rsid w:val="0092778C"/>
    <w:rsid w:val="00931567"/>
    <w:rsid w:val="00931A13"/>
    <w:rsid w:val="00932831"/>
    <w:rsid w:val="009333FC"/>
    <w:rsid w:val="00934604"/>
    <w:rsid w:val="00934A5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A7B"/>
    <w:rsid w:val="00951B1B"/>
    <w:rsid w:val="0095270C"/>
    <w:rsid w:val="0095373B"/>
    <w:rsid w:val="0095436E"/>
    <w:rsid w:val="0095585E"/>
    <w:rsid w:val="009563A3"/>
    <w:rsid w:val="00956630"/>
    <w:rsid w:val="009607E3"/>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F80"/>
    <w:rsid w:val="009C347A"/>
    <w:rsid w:val="009C3803"/>
    <w:rsid w:val="009C3E0C"/>
    <w:rsid w:val="009C431E"/>
    <w:rsid w:val="009C4A98"/>
    <w:rsid w:val="009C4F6F"/>
    <w:rsid w:val="009C5489"/>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4E5A"/>
    <w:rsid w:val="00A3542A"/>
    <w:rsid w:val="00A4029D"/>
    <w:rsid w:val="00A40423"/>
    <w:rsid w:val="00A4069A"/>
    <w:rsid w:val="00A41248"/>
    <w:rsid w:val="00A41BB8"/>
    <w:rsid w:val="00A4296C"/>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6C3"/>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AA7"/>
    <w:rsid w:val="00AE0A08"/>
    <w:rsid w:val="00AE0B0C"/>
    <w:rsid w:val="00AE1462"/>
    <w:rsid w:val="00AE25DF"/>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19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6A4"/>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6653"/>
    <w:rsid w:val="00BA7047"/>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6FD4"/>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B39"/>
    <w:rsid w:val="00C14112"/>
    <w:rsid w:val="00C148F9"/>
    <w:rsid w:val="00C14C81"/>
    <w:rsid w:val="00C14C9B"/>
    <w:rsid w:val="00C15397"/>
    <w:rsid w:val="00C1548D"/>
    <w:rsid w:val="00C160F7"/>
    <w:rsid w:val="00C16757"/>
    <w:rsid w:val="00C1727A"/>
    <w:rsid w:val="00C200CD"/>
    <w:rsid w:val="00C2099C"/>
    <w:rsid w:val="00C20FA9"/>
    <w:rsid w:val="00C21C0D"/>
    <w:rsid w:val="00C22061"/>
    <w:rsid w:val="00C2233E"/>
    <w:rsid w:val="00C224EA"/>
    <w:rsid w:val="00C24A82"/>
    <w:rsid w:val="00C25D78"/>
    <w:rsid w:val="00C25DED"/>
    <w:rsid w:val="00C26933"/>
    <w:rsid w:val="00C26AFD"/>
    <w:rsid w:val="00C27050"/>
    <w:rsid w:val="00C274FF"/>
    <w:rsid w:val="00C27E4B"/>
    <w:rsid w:val="00C3024B"/>
    <w:rsid w:val="00C30F67"/>
    <w:rsid w:val="00C31514"/>
    <w:rsid w:val="00C31AB9"/>
    <w:rsid w:val="00C329BB"/>
    <w:rsid w:val="00C33F07"/>
    <w:rsid w:val="00C35E2F"/>
    <w:rsid w:val="00C3620B"/>
    <w:rsid w:val="00C3715F"/>
    <w:rsid w:val="00C371AE"/>
    <w:rsid w:val="00C372DD"/>
    <w:rsid w:val="00C37474"/>
    <w:rsid w:val="00C4079D"/>
    <w:rsid w:val="00C40A7D"/>
    <w:rsid w:val="00C41140"/>
    <w:rsid w:val="00C412E9"/>
    <w:rsid w:val="00C41C1F"/>
    <w:rsid w:val="00C41FAA"/>
    <w:rsid w:val="00C43149"/>
    <w:rsid w:val="00C44D61"/>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35C"/>
    <w:rsid w:val="00C7300B"/>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41D"/>
    <w:rsid w:val="00C87E66"/>
    <w:rsid w:val="00C87F07"/>
    <w:rsid w:val="00C87F19"/>
    <w:rsid w:val="00C902B3"/>
    <w:rsid w:val="00C906DB"/>
    <w:rsid w:val="00C90914"/>
    <w:rsid w:val="00C91610"/>
    <w:rsid w:val="00C92D52"/>
    <w:rsid w:val="00C9425B"/>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266C"/>
    <w:rsid w:val="00CE333C"/>
    <w:rsid w:val="00CE3798"/>
    <w:rsid w:val="00CE4022"/>
    <w:rsid w:val="00CE5D5C"/>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2E3"/>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CD1"/>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275"/>
    <w:rsid w:val="00D75A6A"/>
    <w:rsid w:val="00D76340"/>
    <w:rsid w:val="00D770C8"/>
    <w:rsid w:val="00D778EB"/>
    <w:rsid w:val="00D77FB5"/>
    <w:rsid w:val="00D813AD"/>
    <w:rsid w:val="00D833D5"/>
    <w:rsid w:val="00D85123"/>
    <w:rsid w:val="00D866C6"/>
    <w:rsid w:val="00D867CF"/>
    <w:rsid w:val="00D867E5"/>
    <w:rsid w:val="00D90D36"/>
    <w:rsid w:val="00D9185A"/>
    <w:rsid w:val="00D91DC2"/>
    <w:rsid w:val="00D91DEF"/>
    <w:rsid w:val="00D92025"/>
    <w:rsid w:val="00D92331"/>
    <w:rsid w:val="00D92A00"/>
    <w:rsid w:val="00D92B4B"/>
    <w:rsid w:val="00D93221"/>
    <w:rsid w:val="00D947F0"/>
    <w:rsid w:val="00D9580B"/>
    <w:rsid w:val="00D973CC"/>
    <w:rsid w:val="00D9742F"/>
    <w:rsid w:val="00D97D50"/>
    <w:rsid w:val="00DA031D"/>
    <w:rsid w:val="00DA03FE"/>
    <w:rsid w:val="00DA15FE"/>
    <w:rsid w:val="00DA198D"/>
    <w:rsid w:val="00DA20BA"/>
    <w:rsid w:val="00DA235A"/>
    <w:rsid w:val="00DA39FA"/>
    <w:rsid w:val="00DA3F00"/>
    <w:rsid w:val="00DA41F8"/>
    <w:rsid w:val="00DA523D"/>
    <w:rsid w:val="00DB0437"/>
    <w:rsid w:val="00DB1308"/>
    <w:rsid w:val="00DB26AA"/>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3FAC"/>
    <w:rsid w:val="00DC5147"/>
    <w:rsid w:val="00DC5399"/>
    <w:rsid w:val="00DC695D"/>
    <w:rsid w:val="00DC6C0E"/>
    <w:rsid w:val="00DC73C6"/>
    <w:rsid w:val="00DC7432"/>
    <w:rsid w:val="00DD02FE"/>
    <w:rsid w:val="00DD0FAC"/>
    <w:rsid w:val="00DD12AF"/>
    <w:rsid w:val="00DD29B3"/>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267"/>
    <w:rsid w:val="00DF6838"/>
    <w:rsid w:val="00DF6B17"/>
    <w:rsid w:val="00DF7C9C"/>
    <w:rsid w:val="00E006AB"/>
    <w:rsid w:val="00E00C0F"/>
    <w:rsid w:val="00E01483"/>
    <w:rsid w:val="00E02B0A"/>
    <w:rsid w:val="00E02D49"/>
    <w:rsid w:val="00E03100"/>
    <w:rsid w:val="00E03F24"/>
    <w:rsid w:val="00E047A3"/>
    <w:rsid w:val="00E0506D"/>
    <w:rsid w:val="00E05BC2"/>
    <w:rsid w:val="00E05C1B"/>
    <w:rsid w:val="00E063E8"/>
    <w:rsid w:val="00E06659"/>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746"/>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1F4D"/>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EAA"/>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C7AFD"/>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E51"/>
    <w:rsid w:val="00EE2172"/>
    <w:rsid w:val="00EE313C"/>
    <w:rsid w:val="00EE32FA"/>
    <w:rsid w:val="00EE3D0F"/>
    <w:rsid w:val="00EE5B58"/>
    <w:rsid w:val="00EE6924"/>
    <w:rsid w:val="00EE6A12"/>
    <w:rsid w:val="00EE76DF"/>
    <w:rsid w:val="00EF006A"/>
    <w:rsid w:val="00EF033F"/>
    <w:rsid w:val="00EF0A1D"/>
    <w:rsid w:val="00EF0AF9"/>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1875"/>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A3D"/>
    <w:rsid w:val="00F153BF"/>
    <w:rsid w:val="00F158DF"/>
    <w:rsid w:val="00F15FDD"/>
    <w:rsid w:val="00F1638A"/>
    <w:rsid w:val="00F16E61"/>
    <w:rsid w:val="00F174D6"/>
    <w:rsid w:val="00F17ADC"/>
    <w:rsid w:val="00F20267"/>
    <w:rsid w:val="00F20302"/>
    <w:rsid w:val="00F20B27"/>
    <w:rsid w:val="00F20ECD"/>
    <w:rsid w:val="00F20F58"/>
    <w:rsid w:val="00F21282"/>
    <w:rsid w:val="00F21EE9"/>
    <w:rsid w:val="00F226D4"/>
    <w:rsid w:val="00F252E5"/>
    <w:rsid w:val="00F25D98"/>
    <w:rsid w:val="00F26181"/>
    <w:rsid w:val="00F265BC"/>
    <w:rsid w:val="00F270FC"/>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09B"/>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022"/>
    <w:rsid w:val="00F92D75"/>
    <w:rsid w:val="00F93444"/>
    <w:rsid w:val="00F9412A"/>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33F"/>
    <w:rsid w:val="00FC6878"/>
    <w:rsid w:val="00FC712B"/>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4F8"/>
    <w:rsid w:val="00FE578A"/>
    <w:rsid w:val="00FE6B9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AECAD28"/>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610"/>
    <w:pPr>
      <w:spacing w:after="9pt"/>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
    <w:basedOn w:val="1"/>
    <w:next w:val="a"/>
    <w:qFormat/>
    <w:pPr>
      <w:numPr>
        <w:ilvl w:val="1"/>
      </w:numPr>
      <w:pBdr>
        <w:top w:val="none" w:sz="0" w:space="0" w:color="auto"/>
      </w:pBdr>
      <w:spacing w:before="9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1"/>
    <w:semiHidden/>
    <w:pPr>
      <w:ind w:start="85.05pt" w:hanging="85.05pt"/>
    </w:pPr>
  </w:style>
  <w:style w:type="paragraph" w:styleId="41">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spacing w:after="0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pt"/>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pt"/>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pPr>
      <w:spacing w:after="0pt"/>
    </w:pPr>
  </w:style>
  <w:style w:type="paragraph" w:customStyle="1" w:styleId="EW">
    <w:name w:val="EW"/>
    <w:basedOn w:val="EX"/>
    <w:pPr>
      <w:spacing w:after="0pt"/>
    </w:pPr>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9"/>
    <w:pPr>
      <w:ind w:start="42.55pt"/>
    </w:pPr>
  </w:style>
  <w:style w:type="paragraph" w:styleId="a9">
    <w:name w:val="List Bullet"/>
    <w:basedOn w:val="a4"/>
  </w:style>
  <w:style w:type="paragraph" w:styleId="31">
    <w:name w:val="List Bullet 3"/>
    <w:basedOn w:val="23"/>
    <w:pPr>
      <w:ind w:start="56.75pt"/>
    </w:pPr>
  </w:style>
  <w:style w:type="paragraph" w:customStyle="1" w:styleId="EQ">
    <w:name w:val="EQ"/>
    <w:basedOn w:val="a"/>
    <w:next w:val="a"/>
    <w:link w:val="EQChar"/>
    <w:pPr>
      <w:keepLines/>
      <w:tabs>
        <w:tab w:val="center" w:pos="226.80pt"/>
        <w:tab w:val="end" w:pos="453.60pt"/>
      </w:tabs>
    </w:pPr>
    <w:rPr>
      <w:noProof/>
    </w:rPr>
  </w:style>
  <w:style w:type="paragraph" w:customStyle="1" w:styleId="NF">
    <w:name w:val="NF"/>
    <w:basedOn w:val="NO"/>
    <w:pPr>
      <w:keepNext/>
      <w:spacing w:after="0p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N">
    <w:name w:val="TAN"/>
    <w:basedOn w:val="TAL"/>
    <w:link w:val="TANChar"/>
    <w:pPr>
      <w:ind w:start="42.55pt" w:hanging="42.55pt"/>
    </w:p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2">
    <w:name w:val="List 4"/>
    <w:basedOn w:val="32"/>
    <w:pPr>
      <w:ind w:start="70.90pt"/>
    </w:pPr>
  </w:style>
  <w:style w:type="paragraph" w:styleId="51">
    <w:name w:val="List 5"/>
    <w:basedOn w:val="42"/>
    <w:pPr>
      <w:ind w:start="85.10pt"/>
    </w:pPr>
  </w:style>
  <w:style w:type="paragraph" w:customStyle="1" w:styleId="EditorsNote">
    <w:name w:val="Editor's Note"/>
    <w:aliases w:val="EN"/>
    <w:basedOn w:val="NO"/>
    <w:link w:val="EditorsNoteChar"/>
    <w:rPr>
      <w:color w:val="FF0000"/>
    </w:rPr>
  </w:style>
  <w:style w:type="paragraph" w:styleId="43">
    <w:name w:val="List Bullet 4"/>
    <w:basedOn w:val="31"/>
    <w:pPr>
      <w:ind w:start="70.90pt"/>
    </w:pPr>
  </w:style>
  <w:style w:type="paragraph" w:styleId="52">
    <w:name w:val="List Bullet 5"/>
    <w:basedOn w:val="43"/>
    <w:pPr>
      <w:ind w:start="85.10pt"/>
    </w:pPr>
  </w:style>
  <w:style w:type="paragraph" w:customStyle="1" w:styleId="B1">
    <w:name w:val="B1"/>
    <w:basedOn w:val="a4"/>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customStyle="1" w:styleId="ae">
    <w:name w:val="コメント文字列 (文字)"/>
    <w:link w:val="ad"/>
    <w:semiHidden/>
    <w:rsid w:val="00D62E96"/>
    <w:rPr>
      <w:rFonts w:ascii="Times New Roman" w:hAnsi="Times New Roman"/>
      <w:lang w:val="en-GB"/>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aliases w:val="bt"/>
    <w:basedOn w:val="a"/>
    <w:link w:val="af4"/>
    <w:rsid w:val="00943DD6"/>
    <w:pPr>
      <w:spacing w:after="0pt"/>
    </w:pPr>
    <w:rPr>
      <w:sz w:val="24"/>
      <w:szCs w:val="24"/>
      <w:lang w:val="en-US"/>
    </w:rPr>
  </w:style>
  <w:style w:type="character" w:customStyle="1" w:styleId="af4">
    <w:name w:val="本文 (文字)"/>
    <w:aliases w:val="bt (文字)"/>
    <w:link w:val="af3"/>
    <w:rsid w:val="00D9580B"/>
    <w:rPr>
      <w:rFonts w:ascii="Times New Roman" w:hAnsi="Times New Roman"/>
      <w:sz w:val="24"/>
      <w:szCs w:val="24"/>
    </w:rPr>
  </w:style>
  <w:style w:type="character" w:styleId="af5">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eastAsia="SimSun" w:hAnsi="Arial" w:cs="Arial"/>
      <w:color w:val="0000FF"/>
      <w:kern w:val="2"/>
      <w:lang w:eastAsia="zh-CN"/>
    </w:rPr>
  </w:style>
  <w:style w:type="table" w:styleId="af6">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Web">
    <w:name w:val="Normal (Web)"/>
    <w:basedOn w:val="a"/>
    <w:uiPriority w:val="99"/>
    <w:rsid w:val="004811E4"/>
    <w:pPr>
      <w:spacing w:before="5pt" w:beforeAutospacing="1" w:after="5pt" w:afterAutospacing="1"/>
    </w:pPr>
    <w:rPr>
      <w:sz w:val="24"/>
      <w:szCs w:val="24"/>
      <w:lang w:val="en-US" w:eastAsia="ja-JP"/>
    </w:rPr>
  </w:style>
  <w:style w:type="paragraph" w:customStyle="1" w:styleId="DocRef">
    <w:name w:val="DocRef"/>
    <w:basedOn w:val="a"/>
    <w:rsid w:val="00DF0640"/>
    <w:pPr>
      <w:numPr>
        <w:numId w:val="4"/>
      </w:numPr>
      <w:tabs>
        <w:tab w:val="clear" w:pos="36pt"/>
        <w:tab w:val="num" w:pos="27pt"/>
      </w:tabs>
      <w:spacing w:after="6pt"/>
      <w:ind w:start="27pt" w:hanging="27pt"/>
      <w:jc w:val="both"/>
    </w:pPr>
    <w:rPr>
      <w:lang w:val="en-US"/>
    </w:rPr>
  </w:style>
  <w:style w:type="paragraph" w:styleId="af7">
    <w:name w:val="caption"/>
    <w:aliases w:val="cap,cap Char,Caption Char1 Char,cap Char Char1,Caption Char Char1 Char,cap Char2,cap Char2 Char Char"/>
    <w:basedOn w:val="a"/>
    <w:next w:val="a"/>
    <w:link w:val="af8"/>
    <w:qFormat/>
    <w:rsid w:val="008525FB"/>
    <w:pPr>
      <w:spacing w:after="0pt"/>
    </w:pPr>
    <w:rPr>
      <w:b/>
      <w:bCs/>
      <w:lang w:val="en-US"/>
    </w:rPr>
  </w:style>
  <w:style w:type="character" w:customStyle="1" w:styleId="af8">
    <w:name w:val="図表番号 (文字)"/>
    <w:aliases w:val="cap (文字),cap Char (文字),Caption Char1 Char (文字),cap Char Char1 (文字),Caption Char Char1 Char (文字),cap Char2 (文字),cap Char2 Char Char (文字)"/>
    <w:link w:val="af7"/>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r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lang w:val="en-US"/>
    </w:rPr>
  </w:style>
  <w:style w:type="paragraph" w:styleId="afb">
    <w:name w:val="Plain Text"/>
    <w:basedOn w:val="a"/>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書式なし (文字)"/>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
    <w:link w:val="afe"/>
    <w:rsid w:val="00D9580B"/>
    <w:pPr>
      <w:widowControl w:val="0"/>
      <w:overflowPunct w:val="0"/>
      <w:autoSpaceDE w:val="0"/>
      <w:autoSpaceDN w:val="0"/>
      <w:adjustRightInd w:val="0"/>
      <w:ind w:start="10.50pt"/>
      <w:jc w:val="both"/>
      <w:textAlignment w:val="baseline"/>
    </w:pPr>
    <w:rPr>
      <w:snapToGrid w:val="0"/>
      <w:kern w:val="2"/>
      <w:sz w:val="21"/>
    </w:rPr>
  </w:style>
  <w:style w:type="character" w:customStyle="1" w:styleId="afe">
    <w:name w:val="本文インデント (文字)"/>
    <w:link w:val="afd"/>
    <w:rsid w:val="00D9580B"/>
    <w:rPr>
      <w:rFonts w:ascii="Times New Roman" w:hAnsi="Times New Roman"/>
      <w:snapToGrid w:val="0"/>
      <w:kern w:val="2"/>
      <w:sz w:val="21"/>
      <w:lang w:val="en-GB"/>
    </w:rPr>
  </w:style>
  <w:style w:type="paragraph" w:styleId="25">
    <w:name w:val="Body Text 2"/>
    <w:basedOn w:val="a"/>
    <w:link w:val="26"/>
    <w:rsid w:val="00D9580B"/>
    <w:pPr>
      <w:overflowPunct w:val="0"/>
      <w:autoSpaceDE w:val="0"/>
      <w:autoSpaceDN w:val="0"/>
      <w:adjustRightInd w:val="0"/>
      <w:textAlignment w:val="baseline"/>
    </w:pPr>
    <w:rPr>
      <w:i/>
    </w:rPr>
  </w:style>
  <w:style w:type="character" w:customStyle="1" w:styleId="26">
    <w:name w:val="本文 2 (文字)"/>
    <w:link w:val="25"/>
    <w:rsid w:val="00D9580B"/>
    <w:rPr>
      <w:rFonts w:ascii="Times New Roman" w:hAnsi="Times New Roman"/>
      <w:i/>
      <w:lang w:val="en-GB"/>
    </w:rPr>
  </w:style>
  <w:style w:type="paragraph" w:styleId="33">
    <w:name w:val="Body Text 3"/>
    <w:basedOn w:val="a"/>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文字)"/>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lang w:val="en-US"/>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ＭＳ 明朝"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spacing w:after="0pt"/>
      <w:ind w:end="6.70pt"/>
      <w:jc w:val="end"/>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eastAsia="zh-CN"/>
    </w:rPr>
  </w:style>
  <w:style w:type="paragraph" w:styleId="aff">
    <w:name w:val="Title"/>
    <w:basedOn w:val="a"/>
    <w:next w:val="a"/>
    <w:link w:val="aff0"/>
    <w:qFormat/>
    <w:rsid w:val="004F601B"/>
    <w:pPr>
      <w:spacing w:before="12pt" w:after="3pt"/>
      <w:jc w:val="center"/>
      <w:outlineLvl w:val="0"/>
    </w:pPr>
    <w:rPr>
      <w:rFonts w:ascii="Cambria" w:eastAsia="SimSun" w:hAnsi="Cambria"/>
      <w:b/>
      <w:bCs/>
      <w:kern w:val="28"/>
      <w:sz w:val="32"/>
      <w:szCs w:val="32"/>
    </w:rPr>
  </w:style>
  <w:style w:type="character" w:customStyle="1" w:styleId="aff0">
    <w:name w:val="表題 (文字)"/>
    <w:link w:val="aff"/>
    <w:rsid w:val="004F601B"/>
    <w:rPr>
      <w:rFonts w:ascii="Cambria" w:eastAsia="SimSun" w:hAnsi="Cambria" w:cs="Times New Roman"/>
      <w:b/>
      <w:bCs/>
      <w:kern w:val="28"/>
      <w:sz w:val="32"/>
      <w:szCs w:val="32"/>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rPr>
      <w:lang w:val="en-US"/>
    </w:rPr>
  </w:style>
  <w:style w:type="paragraph" w:styleId="aff1">
    <w:name w:val="List Paragraph"/>
    <w:basedOn w:val="a"/>
    <w:uiPriority w:val="34"/>
    <w:qFormat/>
    <w:rsid w:val="00083D39"/>
    <w:pPr>
      <w:spacing w:after="0pt"/>
      <w:ind w:start="36pt"/>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start="146.05pt" w:hanging="18.45pt"/>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32.15pt"/>
        <w:tab w:val="num" w:pos="42.55pt"/>
      </w:tabs>
      <w:autoSpaceDE w:val="0"/>
      <w:autoSpaceDN w:val="0"/>
      <w:adjustRightInd w:val="0"/>
      <w:spacing w:before="3pt" w:after="3pt"/>
      <w:ind w:start="42.55pt" w:hanging="42.55pt"/>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40">
    <w:name w:val="List Number 4"/>
    <w:basedOn w:val="a"/>
    <w:rsid w:val="00E7773A"/>
    <w:pPr>
      <w:numPr>
        <w:numId w:val="13"/>
      </w:numPr>
      <w:tabs>
        <w:tab w:val="num" w:pos="60.45pt"/>
      </w:tabs>
      <w:overflowPunct w:val="0"/>
      <w:autoSpaceDE w:val="0"/>
      <w:autoSpaceDN w:val="0"/>
      <w:adjustRightInd w:val="0"/>
      <w:ind w:start="60.45pt"/>
      <w:textAlignment w:val="baseline"/>
    </w:pPr>
    <w:rPr>
      <w:lang w:eastAsia="en-GB"/>
    </w:rPr>
  </w:style>
  <w:style w:type="character" w:customStyle="1" w:styleId="TFChar">
    <w:name w:val="TF Char"/>
    <w:link w:val="TF"/>
    <w:qFormat/>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075567">
      <w:bodyDiv w:val="1"/>
      <w:marLeft w:val="0pt"/>
      <w:marRight w:val="0pt"/>
      <w:marTop w:val="0pt"/>
      <w:marBottom w:val="0pt"/>
      <w:divBdr>
        <w:top w:val="none" w:sz="0" w:space="0" w:color="auto"/>
        <w:left w:val="none" w:sz="0" w:space="0" w:color="auto"/>
        <w:bottom w:val="none" w:sz="0" w:space="0" w:color="auto"/>
        <w:right w:val="none" w:sz="0" w:space="0" w:color="auto"/>
      </w:divBdr>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9387126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7879678">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17977077">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50079836">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530542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0597593">
          <w:marLeft w:val="84.95pt"/>
          <w:marRight w:val="0pt"/>
          <w:marTop w:val="10pt"/>
          <w:marBottom w:val="0pt"/>
          <w:divBdr>
            <w:top w:val="none" w:sz="0" w:space="0" w:color="auto"/>
            <w:left w:val="none" w:sz="0" w:space="0" w:color="auto"/>
            <w:bottom w:val="none" w:sz="0" w:space="0" w:color="auto"/>
            <w:right w:val="none" w:sz="0" w:space="0" w:color="auto"/>
          </w:divBdr>
        </w:div>
        <w:div w:id="797184876">
          <w:marLeft w:val="56.90pt"/>
          <w:marRight w:val="0pt"/>
          <w:marTop w:val="10pt"/>
          <w:marBottom w:val="0pt"/>
          <w:divBdr>
            <w:top w:val="none" w:sz="0" w:space="0" w:color="auto"/>
            <w:left w:val="none" w:sz="0" w:space="0" w:color="auto"/>
            <w:bottom w:val="none" w:sz="0" w:space="0" w:color="auto"/>
            <w:right w:val="none" w:sz="0" w:space="0" w:color="auto"/>
          </w:divBdr>
        </w:div>
        <w:div w:id="999580735">
          <w:marLeft w:val="56.90pt"/>
          <w:marRight w:val="0pt"/>
          <w:marTop w:val="10pt"/>
          <w:marBottom w:val="0pt"/>
          <w:divBdr>
            <w:top w:val="none" w:sz="0" w:space="0" w:color="auto"/>
            <w:left w:val="none" w:sz="0" w:space="0" w:color="auto"/>
            <w:bottom w:val="none" w:sz="0" w:space="0" w:color="auto"/>
            <w:right w:val="none" w:sz="0" w:space="0" w:color="auto"/>
          </w:divBdr>
        </w:div>
        <w:div w:id="1491368173">
          <w:marLeft w:val="84.95pt"/>
          <w:marRight w:val="0pt"/>
          <w:marTop w:val="10pt"/>
          <w:marBottom w:val="0pt"/>
          <w:divBdr>
            <w:top w:val="none" w:sz="0" w:space="0" w:color="auto"/>
            <w:left w:val="none" w:sz="0" w:space="0" w:color="auto"/>
            <w:bottom w:val="none" w:sz="0" w:space="0" w:color="auto"/>
            <w:right w:val="none" w:sz="0" w:space="0" w:color="auto"/>
          </w:divBdr>
        </w:div>
        <w:div w:id="1741905946">
          <w:marLeft w:val="84.95pt"/>
          <w:marRight w:val="0pt"/>
          <w:marTop w:val="10pt"/>
          <w:marBottom w:val="0pt"/>
          <w:divBdr>
            <w:top w:val="none" w:sz="0" w:space="0" w:color="auto"/>
            <w:left w:val="none" w:sz="0" w:space="0" w:color="auto"/>
            <w:bottom w:val="none" w:sz="0" w:space="0" w:color="auto"/>
            <w:right w:val="none" w:sz="0" w:space="0" w:color="auto"/>
          </w:divBdr>
        </w:div>
        <w:div w:id="2031105387">
          <w:marLeft w:val="56.90pt"/>
          <w:marRight w:val="0pt"/>
          <w:marTop w:val="1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32268977">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84952260">
      <w:bodyDiv w:val="1"/>
      <w:marLeft w:val="0pt"/>
      <w:marRight w:val="0pt"/>
      <w:marTop w:val="0pt"/>
      <w:marBottom w:val="0pt"/>
      <w:divBdr>
        <w:top w:val="none" w:sz="0" w:space="0" w:color="auto"/>
        <w:left w:val="none" w:sz="0" w:space="0" w:color="auto"/>
        <w:bottom w:val="none" w:sz="0" w:space="0" w:color="auto"/>
        <w:right w:val="none" w:sz="0" w:space="0" w:color="auto"/>
      </w:divBdr>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07137289">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4148498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9949778">
          <w:marLeft w:val="0pt"/>
          <w:marRight w:val="0pt"/>
          <w:marTop w:val="0pt"/>
          <w:marBottom w:val="0pt"/>
          <w:divBdr>
            <w:top w:val="none" w:sz="0" w:space="0" w:color="auto"/>
            <w:left w:val="none" w:sz="0" w:space="0" w:color="auto"/>
            <w:bottom w:val="none" w:sz="0" w:space="0" w:color="auto"/>
            <w:right w:val="none" w:sz="0" w:space="0" w:color="auto"/>
          </w:divBdr>
        </w:div>
      </w:divsChild>
    </w:div>
    <w:div w:id="1442072181">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23076278">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56782221">
      <w:bodyDiv w:val="1"/>
      <w:marLeft w:val="0pt"/>
      <w:marRight w:val="0pt"/>
      <w:marTop w:val="0pt"/>
      <w:marBottom w:val="0pt"/>
      <w:divBdr>
        <w:top w:val="none" w:sz="0" w:space="0" w:color="auto"/>
        <w:left w:val="none" w:sz="0" w:space="0" w:color="auto"/>
        <w:bottom w:val="none" w:sz="0" w:space="0" w:color="auto"/>
        <w:right w:val="none" w:sz="0" w:space="0" w:color="auto"/>
      </w:divBdr>
    </w:div>
    <w:div w:id="1773938082">
      <w:bodyDiv w:val="1"/>
      <w:marLeft w:val="0pt"/>
      <w:marRight w:val="0pt"/>
      <w:marTop w:val="0pt"/>
      <w:marBottom w:val="0pt"/>
      <w:divBdr>
        <w:top w:val="none" w:sz="0" w:space="0" w:color="auto"/>
        <w:left w:val="none" w:sz="0" w:space="0" w:color="auto"/>
        <w:bottom w:val="none" w:sz="0" w:space="0" w:color="auto"/>
        <w:right w:val="none" w:sz="0" w:space="0" w:color="auto"/>
      </w:divBdr>
    </w:div>
    <w:div w:id="1774857535">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21207008">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2323608">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05279437">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emf"/><Relationship Id="rId13" Type="http://purl.oclc.org/ooxml/officeDocument/relationships/oleObject" Target="embeddings/oleObject2.bin"/><Relationship Id="rId18"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4.wmf"/><Relationship Id="rId17" Type="http://purl.oclc.org/ooxml/officeDocument/relationships/footer" Target="footer1.xml"/><Relationship Id="rId2" Type="http://purl.oclc.org/ooxml/officeDocument/relationships/numbering" Target="numbering.xml"/><Relationship Id="rId16" Type="http://purl.oclc.org/ooxml/officeDocument/relationships/image" Target="media/image7.emf"/><Relationship Id="rId20" Type="http://purl.oclc.org/ooxml/officeDocument/relationships/theme" Target="theme/theme1.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3.wmf"/><Relationship Id="rId5" Type="http://purl.oclc.org/ooxml/officeDocument/relationships/webSettings" Target="webSettings.xml"/><Relationship Id="rId15" Type="http://purl.oclc.org/ooxml/officeDocument/relationships/image" Target="media/image6.emf"/><Relationship Id="rId10" Type="http://purl.oclc.org/ooxml/officeDocument/relationships/oleObject" Target="embeddings/oleObject1.bin"/><Relationship Id="rId19" Type="http://purl.oclc.org/ooxml/officeDocument/relationships/fontTable" Target="fontTable.xml"/><Relationship Id="rId4" Type="http://purl.oclc.org/ooxml/officeDocument/relationships/settings" Target="settings.xml"/><Relationship Id="rId9" Type="http://purl.oclc.org/ooxml/officeDocument/relationships/image" Target="media/image2.wmf"/><Relationship Id="rId14" Type="http://purl.oclc.org/ooxml/officeDocument/relationships/image" Target="media/image5.wmf"/></Relationships>
</file>

<file path=word/theme/theme1.xml><?xml version="1.0" encoding="utf-8"?>
<a:theme xmlns:a="http://purl.oclc.org/ooxml/drawingml/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B04B4262-86E8-4975-ACD9-EFC003488BF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5</Pages>
  <Words>1446</Words>
  <Characters>8244</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2010-10-04T07:58:00Z</cp:lastPrinted>
  <dcterms:created xsi:type="dcterms:W3CDTF">2019-05-01T09:47:00Z</dcterms:created>
  <dcterms:modified xsi:type="dcterms:W3CDTF">2019-05-16T17:47:00Z</dcterms:modified>
</cp:coreProperties>
</file>